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工业机器人一体化实训室建设项目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CGXM-2025-350101-05477[2025]02607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[350101]FJSXY[TP]2025001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福州第一技师学院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福州第一技师学院</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工业机器人一体化实训室建设项目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福建省贤阅项目管理有限公司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工业机器人一体化实训室建设项目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CGXM-2025-350101-05477[2025]02607</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[350101]FJSXY[TP]2025001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1,427,000.00</w:t>
      </w:r>
    </w:p>
    <w:p>
      <w:pPr>
        <w:pStyle w:val="null3"/>
        <w:jc w:val="both"/>
      </w:pPr>
      <w:r>
        <w:rPr>
          <w:rFonts w:ascii="仿宋_GB2312" w:hAnsi="仿宋_GB2312" w:cs="仿宋_GB2312" w:eastAsia="仿宋_GB2312"/>
        </w:rPr>
        <w:t>采购包最高限价（元）: 1,427,000.00</w:t>
      </w:r>
    </w:p>
    <w:p>
      <w:pPr>
        <w:pStyle w:val="null3"/>
        <w:jc w:val="both"/>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工业机器人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1,427,000.00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工业机器人</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工业机器人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工业机器人系统操作实训考核平台</w:t>
            </w:r>
          </w:p>
        </w:tc>
        <w:tc>
          <w:tcPr>
            <w:tcW w:type="dxa" w:w="2076"/>
          </w:tcPr>
          <w:p>
            <w:pPr>
              <w:pStyle w:val="null3"/>
              <w:jc w:val="left"/>
            </w:pPr>
            <w:r>
              <w:rPr>
                <w:rFonts w:ascii="仿宋_GB2312" w:hAnsi="仿宋_GB2312" w:cs="仿宋_GB2312" w:eastAsia="仿宋_GB2312"/>
              </w:rPr>
              <w:t>工业机器人系统操作实训考核平台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智慧实训集控台</w:t>
            </w:r>
          </w:p>
        </w:tc>
        <w:tc>
          <w:tcPr>
            <w:tcW w:type="dxa" w:w="2076"/>
          </w:tcPr>
          <w:p>
            <w:pPr>
              <w:pStyle w:val="null3"/>
              <w:jc w:val="left"/>
            </w:pPr>
            <w:r>
              <w:rPr>
                <w:rFonts w:ascii="仿宋_GB2312" w:hAnsi="仿宋_GB2312" w:cs="仿宋_GB2312" w:eastAsia="仿宋_GB2312"/>
              </w:rPr>
              <w:t>智慧实训集控台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工学一体化工作台</w:t>
            </w:r>
          </w:p>
        </w:tc>
        <w:tc>
          <w:tcPr>
            <w:tcW w:type="dxa" w:w="2076"/>
          </w:tcPr>
          <w:p>
            <w:pPr>
              <w:pStyle w:val="null3"/>
              <w:jc w:val="left"/>
            </w:pPr>
            <w:r>
              <w:rPr>
                <w:rFonts w:ascii="仿宋_GB2312" w:hAnsi="仿宋_GB2312" w:cs="仿宋_GB2312" w:eastAsia="仿宋_GB2312"/>
              </w:rPr>
              <w:t>工学一体化工作台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适用于本项目，按照《关于印发节能产品政府采购品目清单的通知》（财库〔2019〕19号）执行或最新公布的品目清单执行。</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适用于本项目，按照《关于印发环境标志产品政府采购品目清单的通知》（财库〔2019〕18号）执行或最新公布的品目清单执行。</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采购包1：设置专门采购包</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本项目专门面向中小企业采购，非中小企业的将被拒绝，须提供相关证明材料：1、供应商提供的货物、服务或者工程符合《政府采购促进中小企业发展管理办法》(财库〔2020〕46号) 第四条规定的情形，应提供《中小企业声明函》。若供应商提供的《中小企业声明函》中填写的行业与采购文件明确的采购标的对应的中小企业划分标准所属行业不一致，则不予认定为中小企业。2、供应商为监狱企业的视同小型和微型企业，可不提供《中小企业声明函》，但应当提供由省级以上监狱管理局、戒毒管理局(含新疆生产建设兵团)出具的属于监狱企业的证明文件。3、供应商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福州第一技师学院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福州市闽侯县上街溪源宫路99号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0591-22863765</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福建省福州市晋安区岳峰镇金鸡山路59号鼎鑫创意园D区301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陈晓宏、叶俊捷、陈佳怡、林文哲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本项目专门面向中小企业采购，非中小企业的将被拒绝，须提供相关证明材料：1、供应商提供的货物、服务或者工程符合《政府采购促进中小企业发展管理办法》(财库〔2020〕46号) 第四条规定的情形，应提供《中小企业声明函》。若供应商提供的《中小企业声明函》中填写的行业与采购文件明确的采购标的对应的中小企业划分标准所属行业不一致，则不予认定为中小企业。2、供应商为监狱企业的视同小型和微型企业，可不提供《中小企业声明函》，但应当提供由省级以上监狱管理局、戒毒管理局(含新疆生产建设兵团)出具的属于监狱企业的证明文件。3、供应商为残疾人福利性单位的视同小型和微型企业，可不提供《中小企业声明函》，但应提供《残疾人福利性单位声明函》。本项目货物类采购，采购标的对应的中小企业划分标准所属行业为工业。</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金额作为收费的计算基数，按差额定率累进法计算。②收费费率标准：成交金额在100万元以内的部分，收费费率标准1.5%。成交金额在100-500万元的部分，收费费率标准1.1%。③采购包成交人应在领取成交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供应商必须对其响应文件中提供各种资料、说明的真实性负责。在评标过程中，如有发现供应商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供应商都必须对其提供各种资料、说明的真实性负责。 （2.2）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2.3）远程开标的规定：①本项目支持远程开标，供应商可通过远程线上参与开标，具体系统操作指南详见福建省政府采购网首页上相关操作手册。②本项目开标过程中解密及远程签章的操作时限均为30分钟，请供应商务必密切关注实时开标流程，完成远程解密、远程签章。③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④在开标过程中，因系统故障等导致无法继续进行开标的，供应商须配合等待故障处理，待故障解除后继续开标。</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自成交通知书发出之日起30个日历日内。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b2不同供应商的报价保证金从同一单位或个人的账户转出；</w:t>
            </w:r>
          </w:p>
          <w:p>
            <w:pPr>
              <w:pStyle w:val="null3"/>
              <w:jc w:val="left"/>
            </w:pPr>
            <w:r>
              <w:rPr>
                <w:rFonts w:ascii="仿宋_GB2312" w:hAnsi="仿宋_GB2312" w:cs="仿宋_GB2312" w:eastAsia="仿宋_GB2312"/>
              </w:rPr>
              <w:t>b3供应商的报价保证金同一合同项下有其他供应商提交的报价保证金。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a1在电子响应文件中，涉及“单位负责人签字”的内容可使用打字录入方式完成，不视为无效响应。a2磋商文件中关于供应商串通投标情形条款详见《关于福建省财政厅关于电子化政府采购项目中视为串标情形认定与处理的指导意见》闽财购〔2018〕30 号文件规定。</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文件，同一采购包内，对节能产品、环境标志产品政府采购品目清单范围内，实施优先采购的产品，给予产品价格报价10%的扣除，用扣除后的价格参加评审。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供应商在报价时必须对节能（非强制类产品）、环境标志产品单独分项报价，并于响应文件中提供属于节能（非强制类产品）、环境标志产品的证明资料（国家确定的认证机构出具的、处于有效期之内的产品认证证书复印件）。注：本次采购货物中属政府强制采购节能产品的，供应商须提供属于节能产品（强制类产品）的证明资料（国家确定的认证机构出具的、处于有效期之内的产品认证证书复印件），并加盖供应商公章，否则视为无效响应。</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10.1.3其他形式：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第三章 采购内容及要求“二、技术和服务要求”中有任意一项不满足谈判文件要求的，均按无效响应处理。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响应文件未按照谈判文件规定要求进行签署、盖章的。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第三章 采购内容及要求“三、商务条件”中有任意一项不满足谈判文件要求的，均按无效响应处理。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响应文件未按照谈判文件规定要求进行签署、盖章的。</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供应商报价超过最高限价的。</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谈判小组认为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tc>
      </w:tr>
    </w:tbl>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1、工业机器人一体化实训室建设项目，</w:t>
      </w:r>
      <w:r>
        <w:rPr>
          <w:rFonts w:ascii="仿宋_GB2312" w:hAnsi="仿宋_GB2312" w:cs="仿宋_GB2312" w:eastAsia="仿宋_GB2312"/>
        </w:rPr>
        <w:t>属于</w:t>
      </w:r>
      <w:r>
        <w:rPr>
          <w:rFonts w:ascii="仿宋_GB2312" w:hAnsi="仿宋_GB2312" w:cs="仿宋_GB2312" w:eastAsia="仿宋_GB2312"/>
        </w:rPr>
        <w:t>福建省高技能人才培训基地建设</w:t>
      </w:r>
      <w:r>
        <w:rPr>
          <w:rFonts w:ascii="仿宋_GB2312" w:hAnsi="仿宋_GB2312" w:cs="仿宋_GB2312" w:eastAsia="仿宋_GB2312"/>
        </w:rPr>
        <w:t>中的一部分</w:t>
      </w:r>
      <w:r>
        <w:rPr>
          <w:rFonts w:ascii="仿宋_GB2312" w:hAnsi="仿宋_GB2312" w:cs="仿宋_GB2312" w:eastAsia="仿宋_GB2312"/>
        </w:rPr>
        <w:t>，为实现技能培训、技能评价、技能竞赛、技能交流。</w:t>
      </w:r>
      <w:r>
        <w:rPr>
          <w:rFonts w:ascii="仿宋_GB2312" w:hAnsi="仿宋_GB2312" w:cs="仿宋_GB2312" w:eastAsia="仿宋_GB2312"/>
        </w:rPr>
        <w:t>供应商须保证所提供的货物是全新的、未使用过的原装品牌设备，在各个方面符合规定的质量、规格和性能要求，保证货物经过正确安装、合理操作和维护保养，在货物寿命期内运转良好。国家有</w:t>
      </w:r>
      <w:r>
        <w:rPr>
          <w:rFonts w:ascii="仿宋_GB2312" w:hAnsi="仿宋_GB2312" w:cs="仿宋_GB2312" w:eastAsia="仿宋_GB2312"/>
        </w:rPr>
        <w:t>CCC强制性规定的产品还须符合国家CCC强制性认证规定。</w:t>
      </w:r>
    </w:p>
    <w:p>
      <w:pPr>
        <w:pStyle w:val="null3"/>
        <w:ind w:firstLine="402"/>
      </w:pPr>
      <w:r>
        <w:rPr>
          <w:rFonts w:ascii="仿宋_GB2312" w:hAnsi="仿宋_GB2312" w:cs="仿宋_GB2312" w:eastAsia="仿宋_GB2312"/>
          <w:b/>
        </w:rPr>
        <w:t>2、以下“二、技术和服务要求”及“三、商务条件”中的内容均为不允许负偏离的实质性要求，若供应商不满足，其响应无效。</w:t>
      </w:r>
    </w:p>
    <w:p>
      <w:pPr>
        <w:pStyle w:val="null3"/>
        <w:ind w:firstLine="402"/>
      </w:pPr>
      <w:r>
        <w:rPr>
          <w:rFonts w:ascii="仿宋_GB2312" w:hAnsi="仿宋_GB2312" w:cs="仿宋_GB2312" w:eastAsia="仿宋_GB2312"/>
          <w:b/>
        </w:rPr>
        <w:t>3、采购清单</w:t>
      </w:r>
    </w:p>
    <w:tbl>
      <w:tblPr>
        <w:tblW w:w="0" w:type="auto"/>
        <w:tblBorders>
          <w:top w:val="none" w:color="000000" w:sz="4"/>
          <w:left w:val="none" w:color="000000" w:sz="4"/>
          <w:bottom w:val="none" w:color="000000" w:sz="4"/>
          <w:right w:val="none" w:color="000000" w:sz="4"/>
          <w:insideH w:val="none"/>
          <w:insideV w:val="none"/>
        </w:tblBorders>
      </w:tblPr>
      <w:tblGrid>
        <w:gridCol w:w="513"/>
        <w:gridCol w:w="1402"/>
        <w:gridCol w:w="3347"/>
        <w:gridCol w:w="377"/>
        <w:gridCol w:w="407"/>
        <w:gridCol w:w="1116"/>
        <w:gridCol w:w="1146"/>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3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总价（最高限价）</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工业机器人系统操作实训考核平台</w:t>
            </w:r>
            <w:r>
              <w:rPr>
                <w:rFonts w:ascii="仿宋_GB2312" w:hAnsi="仿宋_GB2312" w:cs="仿宋_GB2312" w:eastAsia="仿宋_GB2312"/>
                <w:sz w:val="20"/>
                <w:b/>
              </w:rPr>
              <w:t>（核心产品）</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含六轴工业机器人、标准实训台、快换工具模块、样件套装、曲面绘图模块、平面绘图模块、搬运模块、</w:t>
            </w:r>
            <w:r>
              <w:rPr>
                <w:rFonts w:ascii="仿宋_GB2312" w:hAnsi="仿宋_GB2312" w:cs="仿宋_GB2312" w:eastAsia="仿宋_GB2312"/>
                <w:sz w:val="20"/>
              </w:rPr>
              <w:t>RFID模块、视觉检测模块、旋转供料模块、涂胶模块、变位机模块、编程工控机、配套教学资源等模块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350000元</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1400000元</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智慧实训集控台</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≥1000mm*705mm*1132mm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3000元</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3000元</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工学一体化工作台</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≥750mm*550mm*300mm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600元</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24000元</w:t>
            </w:r>
          </w:p>
        </w:tc>
      </w:tr>
    </w:tbl>
    <w:p>
      <w:pPr>
        <w:pStyle w:val="null3"/>
        <w:ind w:firstLine="402"/>
      </w:pPr>
      <w:r>
        <w:rPr>
          <w:rFonts w:ascii="仿宋_GB2312" w:hAnsi="仿宋_GB2312" w:cs="仿宋_GB2312" w:eastAsia="仿宋_GB2312"/>
          <w:b/>
        </w:rPr>
        <w:t>4、本次采购项目采购包1核心产品为：采购清单中序号1-工业机器人系统操作实训考核平台。</w:t>
      </w:r>
    </w:p>
    <w:p>
      <w:pPr>
        <w:pStyle w:val="null3"/>
        <w:ind w:firstLine="402"/>
      </w:pPr>
      <w:r>
        <w:rPr>
          <w:rFonts w:ascii="仿宋_GB2312" w:hAnsi="仿宋_GB2312" w:cs="仿宋_GB2312" w:eastAsia="仿宋_GB2312"/>
          <w:b/>
        </w:rPr>
        <w:t>关于同品牌同型号产品规定：对单一品目或报价核心产品多家供应商用同一品牌同一型号产品参加同一个项目报价的，应作为一家供应商计算。</w:t>
      </w:r>
    </w:p>
    <w:p>
      <w:pPr>
        <w:pStyle w:val="null3"/>
        <w:ind w:firstLine="402"/>
      </w:pPr>
      <w:r>
        <w:rPr>
          <w:rFonts w:ascii="仿宋_GB2312" w:hAnsi="仿宋_GB2312" w:cs="仿宋_GB2312" w:eastAsia="仿宋_GB2312"/>
          <w:b/>
        </w:rPr>
        <w:t>①采用最低评标价法，提供相同品牌产品的不同供应商参加同一合同项下投标的，以其中通过资格审查、符合性审查且报价最低的参加评标；报价相同的，由谈判小组按照下列方式确定一个参加评标的供应商：</w:t>
      </w:r>
    </w:p>
    <w:p>
      <w:pPr>
        <w:pStyle w:val="null3"/>
        <w:ind w:firstLine="402"/>
      </w:pPr>
      <w:r>
        <w:rPr>
          <w:rFonts w:ascii="仿宋_GB2312" w:hAnsi="仿宋_GB2312" w:cs="仿宋_GB2312" w:eastAsia="仿宋_GB2312"/>
          <w:b/>
        </w:rPr>
        <w:t>a.竞争性谈判文件规定的方式：无。</w:t>
      </w:r>
    </w:p>
    <w:p>
      <w:pPr>
        <w:pStyle w:val="null3"/>
        <w:ind w:firstLine="402"/>
      </w:pPr>
      <w:r>
        <w:rPr>
          <w:rFonts w:ascii="仿宋_GB2312" w:hAnsi="仿宋_GB2312" w:cs="仿宋_GB2312" w:eastAsia="仿宋_GB2312"/>
          <w:b/>
        </w:rPr>
        <w:t>b.竞争性谈判文件未规定 的，采取随机抽取方式确定，其他响应无效。</w:t>
      </w:r>
    </w:p>
    <w:p>
      <w:pPr>
        <w:pStyle w:val="null3"/>
        <w:ind w:firstLine="402"/>
      </w:pPr>
      <w:r>
        <w:rPr>
          <w:rFonts w:ascii="仿宋_GB2312" w:hAnsi="仿宋_GB2312" w:cs="仿宋_GB2312" w:eastAsia="仿宋_GB2312"/>
          <w:b/>
        </w:rPr>
        <w:t>非单一产品采购项目，多家供应商提供的核心产品品牌相同的，按照本条第</w:t>
      </w:r>
      <w:r>
        <w:rPr>
          <w:rFonts w:ascii="仿宋_GB2312" w:hAnsi="仿宋_GB2312" w:cs="仿宋_GB2312" w:eastAsia="仿宋_GB2312"/>
          <w:b/>
        </w:rPr>
        <w:t>①规定处理。</w:t>
      </w:r>
    </w:p>
    <w:p>
      <w:pPr>
        <w:pStyle w:val="null3"/>
        <w:ind w:firstLine="400"/>
      </w:pPr>
      <w:r>
        <w:rPr>
          <w:rFonts w:ascii="仿宋_GB2312" w:hAnsi="仿宋_GB2312" w:cs="仿宋_GB2312" w:eastAsia="仿宋_GB2312"/>
        </w:rPr>
        <w:t>5、报价要求</w:t>
      </w:r>
    </w:p>
    <w:p>
      <w:pPr>
        <w:pStyle w:val="null3"/>
        <w:ind w:firstLine="400"/>
      </w:pPr>
      <w:r>
        <w:rPr>
          <w:rFonts w:ascii="仿宋_GB2312" w:hAnsi="仿宋_GB2312" w:cs="仿宋_GB2312" w:eastAsia="仿宋_GB2312"/>
          <w:sz w:val="21"/>
        </w:rPr>
        <w:t>投标统一以人民币报价。供应商应以包括货物所涉及的有关项目的所有费用进行报价，包括货物采购、制造、备件、工具、</w:t>
      </w:r>
      <w:r>
        <w:rPr>
          <w:rFonts w:ascii="仿宋_GB2312" w:hAnsi="仿宋_GB2312" w:cs="仿宋_GB2312" w:eastAsia="仿宋_GB2312"/>
          <w:sz w:val="21"/>
        </w:rPr>
        <w:t>人员培训费用、</w:t>
      </w:r>
      <w:r>
        <w:rPr>
          <w:rFonts w:ascii="仿宋_GB2312" w:hAnsi="仿宋_GB2312" w:cs="仿宋_GB2312" w:eastAsia="仿宋_GB2312"/>
          <w:sz w:val="21"/>
        </w:rPr>
        <w:t>技术资料、税金、保险、包装、劳务、运输、装卸、安装、调试、检验、验收、培训、保修等一切相关费用和所有根据合同或其它原因应由成交人支付的费用，以及可以合理推断的责任和义务。</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1.本章技术规格要求中未作出大于、小于等幅度表述的尺寸、重量、体积的，允许在规定的数值存在±3%的偏离。</w:t>
      </w:r>
    </w:p>
    <w:p>
      <w:pPr>
        <w:pStyle w:val="null3"/>
        <w:jc w:val="both"/>
      </w:pPr>
      <w:r>
        <w:rPr>
          <w:rFonts w:ascii="仿宋_GB2312" w:hAnsi="仿宋_GB2312" w:cs="仿宋_GB2312" w:eastAsia="仿宋_GB2312"/>
          <w:sz w:val="20"/>
          <w:b/>
        </w:rPr>
        <w:t>1、技术规格、参数及要求</w:t>
      </w:r>
    </w:p>
    <w:tbl>
      <w:tblPr>
        <w:tblW w:w="0" w:type="auto"/>
        <w:tblBorders>
          <w:top w:val="none" w:color="000000" w:sz="4"/>
          <w:left w:val="none" w:color="000000" w:sz="4"/>
          <w:bottom w:val="none" w:color="000000" w:sz="4"/>
          <w:right w:val="none" w:color="000000" w:sz="4"/>
          <w:insideH w:val="none"/>
          <w:insideV w:val="none"/>
        </w:tblBorders>
      </w:tblPr>
      <w:tblGrid>
        <w:gridCol w:w="556"/>
        <w:gridCol w:w="721"/>
        <w:gridCol w:w="7029"/>
      </w:tblGrid>
      <w:tr>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7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工业机器人系统操作实训考核平台</w:t>
            </w:r>
            <w:r>
              <w:rPr>
                <w:rFonts w:ascii="仿宋_GB2312" w:hAnsi="仿宋_GB2312" w:cs="仿宋_GB2312" w:eastAsia="仿宋_GB2312"/>
                <w:sz w:val="20"/>
                <w:b/>
              </w:rPr>
              <w:t>（核心产品）</w:t>
            </w:r>
          </w:p>
        </w:tc>
        <w:tc>
          <w:tcPr>
            <w:tcW w:type="dxa" w:w="7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4"/>
              <w:jc w:val="both"/>
            </w:pPr>
            <w:r>
              <w:rPr>
                <w:rFonts w:ascii="仿宋_GB2312" w:hAnsi="仿宋_GB2312" w:cs="仿宋_GB2312" w:eastAsia="仿宋_GB2312"/>
                <w:sz w:val="20"/>
              </w:rPr>
              <w:t>1、平台组成</w:t>
            </w:r>
          </w:p>
          <w:p>
            <w:pPr>
              <w:pStyle w:val="null3"/>
              <w:ind w:firstLine="264"/>
              <w:jc w:val="both"/>
            </w:pPr>
            <w:r>
              <w:rPr>
                <w:rFonts w:ascii="仿宋_GB2312" w:hAnsi="仿宋_GB2312" w:cs="仿宋_GB2312" w:eastAsia="仿宋_GB2312"/>
                <w:sz w:val="20"/>
              </w:rPr>
              <w:t>机器人系统竞赛平台主要由机器人编程操作台与模块组成。</w:t>
            </w:r>
          </w:p>
          <w:p>
            <w:pPr>
              <w:pStyle w:val="null3"/>
              <w:ind w:firstLine="264"/>
              <w:jc w:val="both"/>
            </w:pPr>
            <w:r>
              <w:rPr>
                <w:rFonts w:ascii="仿宋_GB2312" w:hAnsi="仿宋_GB2312" w:cs="仿宋_GB2312" w:eastAsia="仿宋_GB2312"/>
                <w:sz w:val="20"/>
              </w:rPr>
              <w:t>机器人编程操作台主体框架由钣金搭建，上端面由铝型材搭建，实训台正面配置双开门，后面配置双开门等，底部配置带刹车功能的滚轮。</w:t>
            </w:r>
          </w:p>
          <w:p>
            <w:pPr>
              <w:pStyle w:val="null3"/>
              <w:ind w:firstLine="264"/>
              <w:jc w:val="both"/>
            </w:pPr>
            <w:r>
              <w:rPr>
                <w:rFonts w:ascii="仿宋_GB2312" w:hAnsi="仿宋_GB2312" w:cs="仿宋_GB2312" w:eastAsia="仿宋_GB2312"/>
                <w:sz w:val="20"/>
              </w:rPr>
              <w:t>机器人编程操作台技术参数：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1）实训台尺寸（长*宽*高）：≥1300mm*1200mm*850mm；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2）实训台功能模块固定位：≥8个；</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3）应用形式：实训模块可任意组合放置，可固定。</w:t>
            </w:r>
          </w:p>
          <w:p>
            <w:pPr>
              <w:pStyle w:val="null3"/>
              <w:ind w:firstLine="264"/>
              <w:jc w:val="both"/>
            </w:pPr>
            <w:r>
              <w:rPr>
                <w:rFonts w:ascii="仿宋_GB2312" w:hAnsi="仿宋_GB2312" w:cs="仿宋_GB2312" w:eastAsia="仿宋_GB2312"/>
                <w:sz w:val="20"/>
              </w:rPr>
              <w:t>2、工业机器人</w:t>
            </w:r>
          </w:p>
          <w:p>
            <w:pPr>
              <w:pStyle w:val="null3"/>
              <w:ind w:firstLine="264"/>
              <w:jc w:val="both"/>
            </w:pPr>
            <w:r>
              <w:rPr>
                <w:rFonts w:ascii="仿宋_GB2312" w:hAnsi="仿宋_GB2312" w:cs="仿宋_GB2312" w:eastAsia="仿宋_GB2312"/>
                <w:sz w:val="20"/>
              </w:rPr>
              <w:t>由机器人本体、机器人底座、机器人控制系统和机器人示教盒等组成。</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1）负载能力：≥3kg；</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2）自由度：6；</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3）防护等级：IP30；</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4）重复定位精度：≤±0.01mm；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5）各轴最大动作范围：</w:t>
            </w:r>
          </w:p>
          <w:p>
            <w:pPr>
              <w:pStyle w:val="null3"/>
              <w:ind w:firstLine="264"/>
              <w:jc w:val="both"/>
            </w:pPr>
            <w:r>
              <w:rPr>
                <w:rFonts w:ascii="仿宋_GB2312" w:hAnsi="仿宋_GB2312" w:cs="仿宋_GB2312" w:eastAsia="仿宋_GB2312"/>
                <w:sz w:val="20"/>
              </w:rPr>
              <w:t>轴</w:t>
            </w:r>
            <w:r>
              <w:rPr>
                <w:rFonts w:ascii="仿宋_GB2312" w:hAnsi="仿宋_GB2312" w:cs="仿宋_GB2312" w:eastAsia="仿宋_GB2312"/>
                <w:sz w:val="20"/>
              </w:rPr>
              <w:t>1旋转：≥-165°～+165°；</w:t>
            </w:r>
          </w:p>
          <w:p>
            <w:pPr>
              <w:pStyle w:val="null3"/>
              <w:ind w:firstLine="264"/>
              <w:jc w:val="both"/>
            </w:pPr>
            <w:r>
              <w:rPr>
                <w:rFonts w:ascii="仿宋_GB2312" w:hAnsi="仿宋_GB2312" w:cs="仿宋_GB2312" w:eastAsia="仿宋_GB2312"/>
                <w:sz w:val="20"/>
              </w:rPr>
              <w:t>轴</w:t>
            </w:r>
            <w:r>
              <w:rPr>
                <w:rFonts w:ascii="仿宋_GB2312" w:hAnsi="仿宋_GB2312" w:cs="仿宋_GB2312" w:eastAsia="仿宋_GB2312"/>
                <w:sz w:val="20"/>
              </w:rPr>
              <w:t>2手臂：≥-110°～+110°；</w:t>
            </w:r>
          </w:p>
          <w:p>
            <w:pPr>
              <w:pStyle w:val="null3"/>
              <w:ind w:firstLine="264"/>
              <w:jc w:val="both"/>
            </w:pPr>
            <w:r>
              <w:rPr>
                <w:rFonts w:ascii="仿宋_GB2312" w:hAnsi="仿宋_GB2312" w:cs="仿宋_GB2312" w:eastAsia="仿宋_GB2312"/>
                <w:sz w:val="20"/>
              </w:rPr>
              <w:t>轴</w:t>
            </w:r>
            <w:r>
              <w:rPr>
                <w:rFonts w:ascii="仿宋_GB2312" w:hAnsi="仿宋_GB2312" w:cs="仿宋_GB2312" w:eastAsia="仿宋_GB2312"/>
                <w:sz w:val="20"/>
              </w:rPr>
              <w:t>3手臂：≥-110°～+70°；</w:t>
            </w:r>
          </w:p>
          <w:p>
            <w:pPr>
              <w:pStyle w:val="null3"/>
              <w:ind w:firstLine="264"/>
              <w:jc w:val="both"/>
            </w:pPr>
            <w:r>
              <w:rPr>
                <w:rFonts w:ascii="仿宋_GB2312" w:hAnsi="仿宋_GB2312" w:cs="仿宋_GB2312" w:eastAsia="仿宋_GB2312"/>
                <w:sz w:val="20"/>
              </w:rPr>
              <w:t>轴</w:t>
            </w:r>
            <w:r>
              <w:rPr>
                <w:rFonts w:ascii="仿宋_GB2312" w:hAnsi="仿宋_GB2312" w:cs="仿宋_GB2312" w:eastAsia="仿宋_GB2312"/>
                <w:sz w:val="20"/>
              </w:rPr>
              <w:t>4手腕：≥-160°～+160°；</w:t>
            </w:r>
          </w:p>
          <w:p>
            <w:pPr>
              <w:pStyle w:val="null3"/>
              <w:ind w:firstLine="264"/>
              <w:jc w:val="both"/>
            </w:pPr>
            <w:r>
              <w:rPr>
                <w:rFonts w:ascii="仿宋_GB2312" w:hAnsi="仿宋_GB2312" w:cs="仿宋_GB2312" w:eastAsia="仿宋_GB2312"/>
                <w:sz w:val="20"/>
              </w:rPr>
              <w:t>轴</w:t>
            </w:r>
            <w:r>
              <w:rPr>
                <w:rFonts w:ascii="仿宋_GB2312" w:hAnsi="仿宋_GB2312" w:cs="仿宋_GB2312" w:eastAsia="仿宋_GB2312"/>
                <w:sz w:val="20"/>
              </w:rPr>
              <w:t>5弯曲：≥-120°～+120°；</w:t>
            </w:r>
          </w:p>
          <w:p>
            <w:pPr>
              <w:pStyle w:val="null3"/>
              <w:ind w:firstLine="264"/>
              <w:jc w:val="both"/>
            </w:pPr>
            <w:r>
              <w:rPr>
                <w:rFonts w:ascii="仿宋_GB2312" w:hAnsi="仿宋_GB2312" w:cs="仿宋_GB2312" w:eastAsia="仿宋_GB2312"/>
                <w:sz w:val="20"/>
              </w:rPr>
              <w:t>轴</w:t>
            </w:r>
            <w:r>
              <w:rPr>
                <w:rFonts w:ascii="仿宋_GB2312" w:hAnsi="仿宋_GB2312" w:cs="仿宋_GB2312" w:eastAsia="仿宋_GB2312"/>
                <w:sz w:val="20"/>
              </w:rPr>
              <w:t>6翻转：≥-400°～+400°；</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6）各轴最大动作速度：</w:t>
            </w:r>
          </w:p>
          <w:p>
            <w:pPr>
              <w:pStyle w:val="null3"/>
              <w:ind w:firstLine="264"/>
              <w:jc w:val="both"/>
            </w:pPr>
            <w:r>
              <w:rPr>
                <w:rFonts w:ascii="仿宋_GB2312" w:hAnsi="仿宋_GB2312" w:cs="仿宋_GB2312" w:eastAsia="仿宋_GB2312"/>
                <w:sz w:val="20"/>
              </w:rPr>
              <w:t>J1轴臂旋转：≥250°/s；</w:t>
            </w:r>
          </w:p>
          <w:p>
            <w:pPr>
              <w:pStyle w:val="null3"/>
              <w:ind w:firstLine="264"/>
              <w:jc w:val="both"/>
            </w:pPr>
            <w:r>
              <w:rPr>
                <w:rFonts w:ascii="仿宋_GB2312" w:hAnsi="仿宋_GB2312" w:cs="仿宋_GB2312" w:eastAsia="仿宋_GB2312"/>
                <w:sz w:val="20"/>
              </w:rPr>
              <w:t>J2轴臂前后：≥250°/s；</w:t>
            </w:r>
          </w:p>
          <w:p>
            <w:pPr>
              <w:pStyle w:val="null3"/>
              <w:ind w:firstLine="264"/>
              <w:jc w:val="both"/>
            </w:pPr>
            <w:r>
              <w:rPr>
                <w:rFonts w:ascii="仿宋_GB2312" w:hAnsi="仿宋_GB2312" w:cs="仿宋_GB2312" w:eastAsia="仿宋_GB2312"/>
                <w:sz w:val="20"/>
              </w:rPr>
              <w:t>J3轴臂上下：≥250°/s；</w:t>
            </w:r>
          </w:p>
          <w:p>
            <w:pPr>
              <w:pStyle w:val="null3"/>
              <w:ind w:firstLine="264"/>
              <w:jc w:val="both"/>
            </w:pPr>
            <w:r>
              <w:rPr>
                <w:rFonts w:ascii="仿宋_GB2312" w:hAnsi="仿宋_GB2312" w:cs="仿宋_GB2312" w:eastAsia="仿宋_GB2312"/>
                <w:sz w:val="20"/>
              </w:rPr>
              <w:t>J4轴腕旋转：≥320°/s；</w:t>
            </w:r>
          </w:p>
          <w:p>
            <w:pPr>
              <w:pStyle w:val="null3"/>
              <w:ind w:firstLine="264"/>
              <w:jc w:val="both"/>
            </w:pPr>
            <w:r>
              <w:rPr>
                <w:rFonts w:ascii="仿宋_GB2312" w:hAnsi="仿宋_GB2312" w:cs="仿宋_GB2312" w:eastAsia="仿宋_GB2312"/>
                <w:sz w:val="20"/>
              </w:rPr>
              <w:t>J5轴腕弯曲：≥320°/s；</w:t>
            </w:r>
          </w:p>
          <w:p>
            <w:pPr>
              <w:pStyle w:val="null3"/>
              <w:ind w:firstLine="264"/>
              <w:jc w:val="both"/>
            </w:pPr>
            <w:r>
              <w:rPr>
                <w:rFonts w:ascii="仿宋_GB2312" w:hAnsi="仿宋_GB2312" w:cs="仿宋_GB2312" w:eastAsia="仿宋_GB2312"/>
                <w:sz w:val="20"/>
              </w:rPr>
              <w:t>J6轴腕扭转：≥420°/s；</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7）高度：≥700mm；工作范围：≥580mm；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8）供电电源：AC 200-600V,50/60Hz；</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9）安装：任意角度；</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10）环境温度（机器人本体）：5～45℃；</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11）控制器选用IRC5紧凑型/IRC5单柜或面板嵌入式。</w:t>
            </w:r>
          </w:p>
          <w:p>
            <w:pPr>
              <w:pStyle w:val="null3"/>
              <w:ind w:firstLine="264"/>
              <w:jc w:val="both"/>
            </w:pPr>
            <w:r>
              <w:rPr>
                <w:rFonts w:ascii="仿宋_GB2312" w:hAnsi="仿宋_GB2312" w:cs="仿宋_GB2312" w:eastAsia="仿宋_GB2312"/>
                <w:sz w:val="20"/>
              </w:rPr>
              <w:t>3、快换工具模块</w:t>
            </w:r>
          </w:p>
          <w:p>
            <w:pPr>
              <w:pStyle w:val="null3"/>
              <w:ind w:firstLine="264"/>
              <w:jc w:val="both"/>
            </w:pPr>
            <w:r>
              <w:rPr>
                <w:rFonts w:ascii="仿宋_GB2312" w:hAnsi="仿宋_GB2312" w:cs="仿宋_GB2312" w:eastAsia="仿宋_GB2312"/>
                <w:sz w:val="20"/>
              </w:rPr>
              <w:t>用于自由更换末端工具，实现多功能作业使用。采用主盘与副盘形式，主盘可抓取并更换夹爪、吸盘、绘图笔副盘等多种末端工具，可为多种末端工具提供电源、信号、气源。模块由快换底板、快换顶板、快换支架、传感器、快换主盘、副盘、拉手等组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1）快换支架技术参数:</w:t>
            </w:r>
          </w:p>
          <w:p>
            <w:pPr>
              <w:pStyle w:val="null3"/>
              <w:ind w:firstLine="264"/>
              <w:jc w:val="both"/>
            </w:pPr>
            <w:r>
              <w:rPr>
                <w:rFonts w:ascii="仿宋_GB2312" w:hAnsi="仿宋_GB2312" w:cs="仿宋_GB2312" w:eastAsia="仿宋_GB2312"/>
                <w:sz w:val="20"/>
              </w:rPr>
              <w:t>1）快换支架外形尺寸（长*宽*高）：≥300mm*300mm*180mm；</w:t>
            </w:r>
          </w:p>
          <w:p>
            <w:pPr>
              <w:pStyle w:val="null3"/>
              <w:ind w:firstLine="264"/>
              <w:jc w:val="both"/>
            </w:pPr>
            <w:r>
              <w:rPr>
                <w:rFonts w:ascii="仿宋_GB2312" w:hAnsi="仿宋_GB2312" w:cs="仿宋_GB2312" w:eastAsia="仿宋_GB2312"/>
                <w:sz w:val="20"/>
              </w:rPr>
              <w:t>2）容纳工具数量：≥4个；</w:t>
            </w:r>
          </w:p>
          <w:p>
            <w:pPr>
              <w:pStyle w:val="null3"/>
              <w:ind w:firstLine="264"/>
              <w:jc w:val="both"/>
            </w:pPr>
            <w:r>
              <w:rPr>
                <w:rFonts w:ascii="仿宋_GB2312" w:hAnsi="仿宋_GB2312" w:cs="仿宋_GB2312" w:eastAsia="仿宋_GB2312"/>
                <w:sz w:val="20"/>
              </w:rPr>
              <w:t>3）传感器数量：≥4个；</w:t>
            </w:r>
          </w:p>
          <w:p>
            <w:pPr>
              <w:pStyle w:val="null3"/>
              <w:ind w:firstLine="264"/>
              <w:jc w:val="both"/>
            </w:pPr>
            <w:r>
              <w:rPr>
                <w:rFonts w:ascii="仿宋_GB2312" w:hAnsi="仿宋_GB2312" w:cs="仿宋_GB2312" w:eastAsia="仿宋_GB2312"/>
                <w:sz w:val="20"/>
              </w:rPr>
              <w:t>4）工具种类：大夹爪工具、小夹爪工具、吸盘工具、绘图工具；</w:t>
            </w:r>
          </w:p>
          <w:p>
            <w:pPr>
              <w:pStyle w:val="null3"/>
              <w:ind w:firstLine="264"/>
              <w:jc w:val="both"/>
            </w:pPr>
            <w:r>
              <w:rPr>
                <w:rFonts w:ascii="仿宋_GB2312" w:hAnsi="仿宋_GB2312" w:cs="仿宋_GB2312" w:eastAsia="仿宋_GB2312"/>
                <w:sz w:val="20"/>
              </w:rPr>
              <w:t>5）安装形式：适配标准实训台定位安装。</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2）快换主盘技术参数：</w:t>
            </w:r>
          </w:p>
          <w:p>
            <w:pPr>
              <w:pStyle w:val="null3"/>
              <w:ind w:firstLine="264"/>
              <w:jc w:val="both"/>
            </w:pPr>
            <w:r>
              <w:rPr>
                <w:rFonts w:ascii="仿宋_GB2312" w:hAnsi="仿宋_GB2312" w:cs="仿宋_GB2312" w:eastAsia="仿宋_GB2312"/>
                <w:sz w:val="20"/>
              </w:rPr>
              <w:t>1）承重：≥4kg；</w:t>
            </w:r>
          </w:p>
          <w:p>
            <w:pPr>
              <w:pStyle w:val="null3"/>
              <w:ind w:firstLine="264"/>
              <w:jc w:val="both"/>
            </w:pPr>
            <w:r>
              <w:rPr>
                <w:rFonts w:ascii="仿宋_GB2312" w:hAnsi="仿宋_GB2312" w:cs="仿宋_GB2312" w:eastAsia="仿宋_GB2312"/>
                <w:sz w:val="20"/>
              </w:rPr>
              <w:t>2）允许力矩：≥20N·m。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3）吸盘工具技术参数：</w:t>
            </w:r>
          </w:p>
          <w:p>
            <w:pPr>
              <w:pStyle w:val="null3"/>
              <w:ind w:firstLine="264"/>
              <w:jc w:val="both"/>
            </w:pPr>
            <w:r>
              <w:rPr>
                <w:rFonts w:ascii="仿宋_GB2312" w:hAnsi="仿宋_GB2312" w:cs="仿宋_GB2312" w:eastAsia="仿宋_GB2312"/>
                <w:sz w:val="20"/>
              </w:rPr>
              <w:t>1）吸盘盘径：≥20mm；</w:t>
            </w:r>
          </w:p>
          <w:p>
            <w:pPr>
              <w:pStyle w:val="null3"/>
              <w:ind w:firstLine="264"/>
              <w:jc w:val="both"/>
            </w:pPr>
            <w:r>
              <w:rPr>
                <w:rFonts w:ascii="仿宋_GB2312" w:hAnsi="仿宋_GB2312" w:cs="仿宋_GB2312" w:eastAsia="仿宋_GB2312"/>
                <w:sz w:val="20"/>
              </w:rPr>
              <w:t>2）吸附力：≥10N。</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4）小夹爪工具技术参数：</w:t>
            </w:r>
          </w:p>
          <w:p>
            <w:pPr>
              <w:pStyle w:val="null3"/>
              <w:ind w:firstLine="264"/>
              <w:jc w:val="both"/>
            </w:pPr>
            <w:r>
              <w:rPr>
                <w:rFonts w:ascii="仿宋_GB2312" w:hAnsi="仿宋_GB2312" w:cs="仿宋_GB2312" w:eastAsia="仿宋_GB2312"/>
                <w:sz w:val="20"/>
              </w:rPr>
              <w:t>1）气缸缸径：≥12mm；</w:t>
            </w:r>
          </w:p>
          <w:p>
            <w:pPr>
              <w:pStyle w:val="null3"/>
              <w:ind w:firstLine="264"/>
              <w:jc w:val="both"/>
            </w:pPr>
            <w:r>
              <w:rPr>
                <w:rFonts w:ascii="仿宋_GB2312" w:hAnsi="仿宋_GB2312" w:cs="仿宋_GB2312" w:eastAsia="仿宋_GB2312"/>
                <w:sz w:val="20"/>
              </w:rPr>
              <w:t>2）行程：≥24mm。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5）大夹爪工具技术参数：</w:t>
            </w:r>
          </w:p>
          <w:p>
            <w:pPr>
              <w:pStyle w:val="null3"/>
              <w:ind w:firstLine="264"/>
              <w:jc w:val="both"/>
            </w:pPr>
            <w:r>
              <w:rPr>
                <w:rFonts w:ascii="仿宋_GB2312" w:hAnsi="仿宋_GB2312" w:cs="仿宋_GB2312" w:eastAsia="仿宋_GB2312"/>
                <w:sz w:val="20"/>
              </w:rPr>
              <w:t>1）气缸缸径：≥12mm；</w:t>
            </w:r>
          </w:p>
          <w:p>
            <w:pPr>
              <w:pStyle w:val="null3"/>
              <w:ind w:firstLine="264"/>
              <w:jc w:val="both"/>
            </w:pPr>
            <w:r>
              <w:rPr>
                <w:rFonts w:ascii="仿宋_GB2312" w:hAnsi="仿宋_GB2312" w:cs="仿宋_GB2312" w:eastAsia="仿宋_GB2312"/>
                <w:sz w:val="20"/>
              </w:rPr>
              <w:t>2）行程：≥24mm。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6）绘图笔工具技术参数：</w:t>
            </w:r>
          </w:p>
          <w:p>
            <w:pPr>
              <w:pStyle w:val="null3"/>
              <w:ind w:firstLine="264"/>
              <w:jc w:val="both"/>
            </w:pPr>
            <w:r>
              <w:rPr>
                <w:rFonts w:ascii="仿宋_GB2312" w:hAnsi="仿宋_GB2312" w:cs="仿宋_GB2312" w:eastAsia="仿宋_GB2312"/>
                <w:sz w:val="20"/>
              </w:rPr>
              <w:t>1）绘图笔距离：长度可调。</w:t>
            </w:r>
          </w:p>
          <w:p>
            <w:pPr>
              <w:pStyle w:val="null3"/>
              <w:ind w:firstLine="264"/>
              <w:jc w:val="both"/>
            </w:pPr>
            <w:r>
              <w:rPr>
                <w:rFonts w:ascii="仿宋_GB2312" w:hAnsi="仿宋_GB2312" w:cs="仿宋_GB2312" w:eastAsia="仿宋_GB2312"/>
                <w:sz w:val="20"/>
              </w:rPr>
              <w:t>4、仓储模块</w:t>
            </w:r>
          </w:p>
          <w:p>
            <w:pPr>
              <w:pStyle w:val="null3"/>
              <w:ind w:firstLine="264"/>
              <w:jc w:val="both"/>
            </w:pPr>
            <w:r>
              <w:rPr>
                <w:rFonts w:ascii="仿宋_GB2312" w:hAnsi="仿宋_GB2312" w:cs="仿宋_GB2312" w:eastAsia="仿宋_GB2312"/>
                <w:sz w:val="20"/>
              </w:rPr>
              <w:t>用于存放关节成品、关节套件、电机外壳、电机成品使用。模块由模块底板、支架、工件固定位、拉手等组成。有</w:t>
            </w:r>
            <w:r>
              <w:rPr>
                <w:rFonts w:ascii="仿宋_GB2312" w:hAnsi="仿宋_GB2312" w:cs="仿宋_GB2312" w:eastAsia="仿宋_GB2312"/>
                <w:sz w:val="20"/>
              </w:rPr>
              <w:t>3行3列共9个仓位分阶层排列，方便拿取。</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1）外形尺寸（长*宽*高）：≥300mm*300mm*400mm；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2）仓位数量：3列3层9个；</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3）仓位承重：≥2kg；</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4）存放工件种类：≥6种；</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5）传感器数量：≥6个；</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6）通讯方式：Modbus-TCP；</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7）安装形式：适配标准实训台定位安装。</w:t>
            </w:r>
          </w:p>
          <w:p>
            <w:pPr>
              <w:pStyle w:val="null3"/>
              <w:ind w:firstLine="264"/>
              <w:jc w:val="both"/>
            </w:pPr>
            <w:r>
              <w:rPr>
                <w:rFonts w:ascii="仿宋_GB2312" w:hAnsi="仿宋_GB2312" w:cs="仿宋_GB2312" w:eastAsia="仿宋_GB2312"/>
                <w:sz w:val="20"/>
              </w:rPr>
              <w:t>5、输送线模块</w:t>
            </w:r>
          </w:p>
          <w:p>
            <w:pPr>
              <w:pStyle w:val="null3"/>
              <w:ind w:firstLine="264"/>
              <w:jc w:val="both"/>
            </w:pPr>
            <w:r>
              <w:rPr>
                <w:rFonts w:ascii="仿宋_GB2312" w:hAnsi="仿宋_GB2312" w:cs="仿宋_GB2312" w:eastAsia="仿宋_GB2312"/>
                <w:sz w:val="20"/>
              </w:rPr>
              <w:t>用与物料输送及物料分拣使用。模块由模块底板、铝型材支架、输送带、导向板、双轴气缸、变频器、旋转编码器、电机、传感器、拉手等组成。</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1）外形尺寸（长*宽*高）：≥600mm*300mm*180mm；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2）输送线长度：≥600mm；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3）有效工作宽度：≥50mm；</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4）驱动方式：三相异步减速电机+变频器控制；</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5）传感器：旋转编码器；</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6）安装形式：适配标准实训台定位安装。</w:t>
            </w:r>
          </w:p>
          <w:p>
            <w:pPr>
              <w:pStyle w:val="null3"/>
              <w:ind w:firstLine="264"/>
              <w:jc w:val="both"/>
            </w:pPr>
            <w:r>
              <w:rPr>
                <w:rFonts w:ascii="仿宋_GB2312" w:hAnsi="仿宋_GB2312" w:cs="仿宋_GB2312" w:eastAsia="仿宋_GB2312"/>
                <w:sz w:val="20"/>
              </w:rPr>
              <w:t>6、变位翻转模块</w:t>
            </w:r>
          </w:p>
          <w:p>
            <w:pPr>
              <w:pStyle w:val="null3"/>
              <w:ind w:firstLine="264"/>
              <w:jc w:val="both"/>
            </w:pPr>
            <w:r>
              <w:rPr>
                <w:rFonts w:ascii="仿宋_GB2312" w:hAnsi="仿宋_GB2312" w:cs="仿宋_GB2312" w:eastAsia="仿宋_GB2312"/>
                <w:sz w:val="20"/>
              </w:rPr>
              <w:t>用于配合各功能模块，实现旋转变位，满足多方位工作使用。具有可活动式安安装板，可放置装配模块等。模块由模块底板、支架、伺服电机、伺服驱动器、拉手等组成。</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1）外形尺寸（长*宽*高）：≥600mm*300mm*300mm；</w:t>
            </w:r>
          </w:p>
          <w:p>
            <w:pPr>
              <w:pStyle w:val="null3"/>
              <w:ind w:firstLine="264"/>
              <w:jc w:val="both"/>
            </w:pPr>
            <w:r>
              <w:rPr>
                <w:rFonts w:ascii="仿宋_GB2312" w:hAnsi="仿宋_GB2312" w:cs="仿宋_GB2312" w:eastAsia="仿宋_GB2312"/>
                <w:sz w:val="20"/>
              </w:rPr>
              <w:t>2）行程：≥±45°；</w:t>
            </w:r>
          </w:p>
          <w:p>
            <w:pPr>
              <w:pStyle w:val="null3"/>
              <w:ind w:firstLine="264"/>
              <w:jc w:val="both"/>
            </w:pPr>
            <w:r>
              <w:rPr>
                <w:rFonts w:ascii="仿宋_GB2312" w:hAnsi="仿宋_GB2312" w:cs="仿宋_GB2312" w:eastAsia="仿宋_GB2312"/>
                <w:sz w:val="20"/>
              </w:rPr>
              <w:t>3）最高速度：≥140r/min；</w:t>
            </w:r>
          </w:p>
          <w:p>
            <w:pPr>
              <w:pStyle w:val="null3"/>
              <w:ind w:firstLine="264"/>
              <w:jc w:val="both"/>
            </w:pPr>
            <w:r>
              <w:rPr>
                <w:rFonts w:ascii="仿宋_GB2312" w:hAnsi="仿宋_GB2312" w:cs="仿宋_GB2312" w:eastAsia="仿宋_GB2312"/>
                <w:sz w:val="20"/>
              </w:rPr>
              <w:t>4）驱动方式：伺服电机+蜗轮蜗杆减速器；</w:t>
            </w:r>
          </w:p>
          <w:p>
            <w:pPr>
              <w:pStyle w:val="null3"/>
              <w:ind w:firstLine="264"/>
              <w:jc w:val="both"/>
            </w:pPr>
            <w:r>
              <w:rPr>
                <w:rFonts w:ascii="仿宋_GB2312" w:hAnsi="仿宋_GB2312" w:cs="仿宋_GB2312" w:eastAsia="仿宋_GB2312"/>
                <w:sz w:val="20"/>
              </w:rPr>
              <w:t>5）安装形式：适配标准实训台定位安装。</w:t>
            </w:r>
          </w:p>
          <w:p>
            <w:pPr>
              <w:pStyle w:val="null3"/>
              <w:ind w:firstLine="264"/>
              <w:jc w:val="both"/>
            </w:pPr>
            <w:r>
              <w:rPr>
                <w:rFonts w:ascii="仿宋_GB2312" w:hAnsi="仿宋_GB2312" w:cs="仿宋_GB2312" w:eastAsia="仿宋_GB2312"/>
                <w:sz w:val="20"/>
              </w:rPr>
              <w:t>7、装配模块及RFID模块</w:t>
            </w:r>
          </w:p>
          <w:p>
            <w:pPr>
              <w:pStyle w:val="null3"/>
              <w:ind w:firstLine="264"/>
              <w:jc w:val="both"/>
            </w:pPr>
            <w:r>
              <w:rPr>
                <w:rFonts w:ascii="仿宋_GB2312" w:hAnsi="仿宋_GB2312" w:cs="仿宋_GB2312" w:eastAsia="仿宋_GB2312"/>
                <w:sz w:val="20"/>
              </w:rPr>
              <w:t>装配模块用于二次定位工件</w:t>
            </w:r>
            <w:r>
              <w:rPr>
                <w:rFonts w:ascii="仿宋_GB2312" w:hAnsi="仿宋_GB2312" w:cs="仿宋_GB2312" w:eastAsia="仿宋_GB2312"/>
                <w:sz w:val="20"/>
              </w:rPr>
              <w:t>,模块由模块底板、双轴气缸、电磁阀、拉手等组成；RFID模块用于对工件的读取和识别，实现对工件的工序记录与工序更新，模块由RFID、模块底板等组成。</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1）外形尺寸（长*宽*高）：≥300mm*300mm*48mm；</w:t>
            </w:r>
          </w:p>
          <w:p>
            <w:pPr>
              <w:pStyle w:val="null3"/>
              <w:ind w:firstLine="264"/>
              <w:jc w:val="both"/>
            </w:pPr>
            <w:r>
              <w:rPr>
                <w:rFonts w:ascii="仿宋_GB2312" w:hAnsi="仿宋_GB2312" w:cs="仿宋_GB2312" w:eastAsia="仿宋_GB2312"/>
                <w:sz w:val="20"/>
              </w:rPr>
              <w:t>2）气缸行程：≥50mm；</w:t>
            </w:r>
          </w:p>
          <w:p>
            <w:pPr>
              <w:pStyle w:val="null3"/>
              <w:ind w:firstLine="264"/>
              <w:jc w:val="both"/>
            </w:pPr>
            <w:r>
              <w:rPr>
                <w:rFonts w:ascii="仿宋_GB2312" w:hAnsi="仿宋_GB2312" w:cs="仿宋_GB2312" w:eastAsia="仿宋_GB2312"/>
                <w:sz w:val="20"/>
              </w:rPr>
              <w:t>3）支持协议：ISO14443A.IS015693；</w:t>
            </w:r>
          </w:p>
          <w:p>
            <w:pPr>
              <w:pStyle w:val="null3"/>
              <w:ind w:firstLine="264"/>
              <w:jc w:val="both"/>
            </w:pPr>
            <w:r>
              <w:rPr>
                <w:rFonts w:ascii="仿宋_GB2312" w:hAnsi="仿宋_GB2312" w:cs="仿宋_GB2312" w:eastAsia="仿宋_GB2312"/>
                <w:sz w:val="20"/>
              </w:rPr>
              <w:t>4）读取距离：0-160mm（±10mm）；</w:t>
            </w:r>
          </w:p>
          <w:p>
            <w:pPr>
              <w:pStyle w:val="null3"/>
              <w:ind w:firstLine="264"/>
              <w:jc w:val="both"/>
            </w:pPr>
            <w:r>
              <w:rPr>
                <w:rFonts w:ascii="仿宋_GB2312" w:hAnsi="仿宋_GB2312" w:cs="仿宋_GB2312" w:eastAsia="仿宋_GB2312"/>
                <w:sz w:val="20"/>
              </w:rPr>
              <w:t>5）写入距离：0-120mm（±10mm）；</w:t>
            </w:r>
          </w:p>
          <w:p>
            <w:pPr>
              <w:pStyle w:val="null3"/>
              <w:ind w:firstLine="264"/>
              <w:jc w:val="both"/>
            </w:pPr>
            <w:r>
              <w:rPr>
                <w:rFonts w:ascii="仿宋_GB2312" w:hAnsi="仿宋_GB2312" w:cs="仿宋_GB2312" w:eastAsia="仿宋_GB2312"/>
                <w:sz w:val="20"/>
              </w:rPr>
              <w:t>6）安装形式：适配标准实训台定位安装。</w:t>
            </w:r>
          </w:p>
          <w:p>
            <w:pPr>
              <w:pStyle w:val="null3"/>
              <w:ind w:firstLine="264"/>
              <w:jc w:val="both"/>
            </w:pPr>
            <w:r>
              <w:rPr>
                <w:rFonts w:ascii="仿宋_GB2312" w:hAnsi="仿宋_GB2312" w:cs="仿宋_GB2312" w:eastAsia="仿宋_GB2312"/>
                <w:sz w:val="20"/>
              </w:rPr>
              <w:t>8、电动供料模块</w:t>
            </w:r>
          </w:p>
          <w:p>
            <w:pPr>
              <w:pStyle w:val="null3"/>
              <w:ind w:firstLine="264"/>
              <w:jc w:val="both"/>
            </w:pPr>
            <w:r>
              <w:rPr>
                <w:rFonts w:ascii="仿宋_GB2312" w:hAnsi="仿宋_GB2312" w:cs="仿宋_GB2312" w:eastAsia="仿宋_GB2312"/>
                <w:sz w:val="20"/>
              </w:rPr>
              <w:t>用于存放工件及旋转供料使用。模块由模块底板、铝型材支架、电机分度盘、料盘、拉手等组成。</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1）外形尺寸（长*宽*高）：≥300mm*300mm*238mm；</w:t>
            </w:r>
          </w:p>
          <w:p>
            <w:pPr>
              <w:pStyle w:val="null3"/>
              <w:ind w:firstLine="264"/>
              <w:jc w:val="both"/>
            </w:pPr>
            <w:r>
              <w:rPr>
                <w:rFonts w:ascii="仿宋_GB2312" w:hAnsi="仿宋_GB2312" w:cs="仿宋_GB2312" w:eastAsia="仿宋_GB2312"/>
                <w:sz w:val="20"/>
              </w:rPr>
              <w:t>2）工件容量种类：关节外壳、关节套件、电机外壳、电机套件；</w:t>
            </w:r>
          </w:p>
          <w:p>
            <w:pPr>
              <w:pStyle w:val="null3"/>
              <w:ind w:firstLine="264"/>
              <w:jc w:val="both"/>
            </w:pPr>
            <w:r>
              <w:rPr>
                <w:rFonts w:ascii="仿宋_GB2312" w:hAnsi="仿宋_GB2312" w:cs="仿宋_GB2312" w:eastAsia="仿宋_GB2312"/>
                <w:sz w:val="20"/>
              </w:rPr>
              <w:t>3）工件容量：≥6；</w:t>
            </w:r>
          </w:p>
          <w:p>
            <w:pPr>
              <w:pStyle w:val="null3"/>
              <w:ind w:firstLine="264"/>
              <w:jc w:val="both"/>
            </w:pPr>
            <w:r>
              <w:rPr>
                <w:rFonts w:ascii="仿宋_GB2312" w:hAnsi="仿宋_GB2312" w:cs="仿宋_GB2312" w:eastAsia="仿宋_GB2312"/>
                <w:sz w:val="20"/>
              </w:rPr>
              <w:t>4）转盘直径：≥300mm；</w:t>
            </w:r>
          </w:p>
          <w:p>
            <w:pPr>
              <w:pStyle w:val="null3"/>
              <w:ind w:firstLine="264"/>
              <w:jc w:val="both"/>
            </w:pPr>
            <w:r>
              <w:rPr>
                <w:rFonts w:ascii="仿宋_GB2312" w:hAnsi="仿宋_GB2312" w:cs="仿宋_GB2312" w:eastAsia="仿宋_GB2312"/>
                <w:sz w:val="20"/>
              </w:rPr>
              <w:t>5）速度：≥20°/s；</w:t>
            </w:r>
          </w:p>
          <w:p>
            <w:pPr>
              <w:pStyle w:val="null3"/>
              <w:ind w:firstLine="264"/>
              <w:jc w:val="both"/>
            </w:pPr>
            <w:r>
              <w:rPr>
                <w:rFonts w:ascii="仿宋_GB2312" w:hAnsi="仿宋_GB2312" w:cs="仿宋_GB2312" w:eastAsia="仿宋_GB2312"/>
                <w:sz w:val="20"/>
              </w:rPr>
              <w:t>6）负载：≥10kg；</w:t>
            </w:r>
          </w:p>
          <w:p>
            <w:pPr>
              <w:pStyle w:val="null3"/>
              <w:ind w:firstLine="264"/>
              <w:jc w:val="both"/>
            </w:pPr>
            <w:r>
              <w:rPr>
                <w:rFonts w:ascii="仿宋_GB2312" w:hAnsi="仿宋_GB2312" w:cs="仿宋_GB2312" w:eastAsia="仿宋_GB2312"/>
                <w:sz w:val="20"/>
              </w:rPr>
              <w:t>7）驱动方式：步进电机+分度盘；</w:t>
            </w:r>
          </w:p>
          <w:p>
            <w:pPr>
              <w:pStyle w:val="null3"/>
              <w:ind w:firstLine="264"/>
              <w:jc w:val="both"/>
            </w:pPr>
            <w:r>
              <w:rPr>
                <w:rFonts w:ascii="仿宋_GB2312" w:hAnsi="仿宋_GB2312" w:cs="仿宋_GB2312" w:eastAsia="仿宋_GB2312"/>
                <w:sz w:val="20"/>
              </w:rPr>
              <w:t>8）安装形式：适配标准实训台定位安装。</w:t>
            </w:r>
          </w:p>
          <w:p>
            <w:pPr>
              <w:pStyle w:val="null3"/>
              <w:ind w:firstLine="264"/>
              <w:jc w:val="both"/>
            </w:pPr>
            <w:r>
              <w:rPr>
                <w:rFonts w:ascii="仿宋_GB2312" w:hAnsi="仿宋_GB2312" w:cs="仿宋_GB2312" w:eastAsia="仿宋_GB2312"/>
                <w:sz w:val="20"/>
              </w:rPr>
              <w:t>9、机器视觉检测模块</w:t>
            </w:r>
          </w:p>
          <w:p>
            <w:pPr>
              <w:pStyle w:val="null3"/>
              <w:ind w:firstLine="264"/>
              <w:jc w:val="both"/>
            </w:pPr>
            <w:r>
              <w:rPr>
                <w:rFonts w:ascii="仿宋_GB2312" w:hAnsi="仿宋_GB2312" w:cs="仿宋_GB2312" w:eastAsia="仿宋_GB2312"/>
                <w:sz w:val="20"/>
              </w:rPr>
              <w:t>用于检测工件的类型、颜色、位置、缺陷等信息使用。模块由视觉检测系统、铝材安装支架等组成。</w:t>
            </w:r>
          </w:p>
          <w:p>
            <w:pPr>
              <w:pStyle w:val="null3"/>
              <w:ind w:firstLine="264"/>
              <w:jc w:val="both"/>
            </w:pPr>
            <w:r>
              <w:rPr>
                <w:rFonts w:ascii="仿宋_GB2312" w:hAnsi="仿宋_GB2312" w:cs="仿宋_GB2312" w:eastAsia="仿宋_GB2312"/>
                <w:sz w:val="20"/>
              </w:rPr>
              <w:t>技术参数：</w:t>
            </w:r>
          </w:p>
          <w:p>
            <w:pPr>
              <w:pStyle w:val="null3"/>
              <w:ind w:firstLine="264"/>
              <w:jc w:val="both"/>
            </w:pPr>
            <w:r>
              <w:rPr>
                <w:rFonts w:ascii="仿宋_GB2312" w:hAnsi="仿宋_GB2312" w:cs="仿宋_GB2312" w:eastAsia="仿宋_GB2312"/>
                <w:sz w:val="20"/>
              </w:rPr>
              <w:t>1）像素值：≥500W；</w:t>
            </w:r>
          </w:p>
          <w:p>
            <w:pPr>
              <w:pStyle w:val="null3"/>
              <w:ind w:firstLine="264"/>
              <w:jc w:val="both"/>
            </w:pPr>
            <w:r>
              <w:rPr>
                <w:rFonts w:ascii="仿宋_GB2312" w:hAnsi="仿宋_GB2312" w:cs="仿宋_GB2312" w:eastAsia="仿宋_GB2312"/>
                <w:sz w:val="20"/>
              </w:rPr>
              <w:t>2）相机靶面尺寸：≥1/2.5″；</w:t>
            </w:r>
          </w:p>
          <w:p>
            <w:pPr>
              <w:pStyle w:val="null3"/>
              <w:ind w:firstLine="264"/>
              <w:jc w:val="both"/>
            </w:pPr>
            <w:r>
              <w:rPr>
                <w:rFonts w:ascii="仿宋_GB2312" w:hAnsi="仿宋_GB2312" w:cs="仿宋_GB2312" w:eastAsia="仿宋_GB2312"/>
                <w:sz w:val="20"/>
              </w:rPr>
              <w:t>3）分辨率：≥2592×1944；</w:t>
            </w:r>
          </w:p>
          <w:p>
            <w:pPr>
              <w:pStyle w:val="null3"/>
              <w:ind w:firstLine="264"/>
              <w:jc w:val="both"/>
            </w:pPr>
            <w:r>
              <w:rPr>
                <w:rFonts w:ascii="仿宋_GB2312" w:hAnsi="仿宋_GB2312" w:cs="仿宋_GB2312" w:eastAsia="仿宋_GB2312"/>
                <w:sz w:val="20"/>
              </w:rPr>
              <w:t>4）曝光模式：卷帘；</w:t>
            </w:r>
          </w:p>
          <w:p>
            <w:pPr>
              <w:pStyle w:val="null3"/>
              <w:ind w:firstLine="264"/>
              <w:jc w:val="both"/>
            </w:pPr>
            <w:r>
              <w:rPr>
                <w:rFonts w:ascii="仿宋_GB2312" w:hAnsi="仿宋_GB2312" w:cs="仿宋_GB2312" w:eastAsia="仿宋_GB2312"/>
                <w:sz w:val="20"/>
              </w:rPr>
              <w:t>5）曝光时间：21μs～1s；</w:t>
            </w:r>
          </w:p>
          <w:p>
            <w:pPr>
              <w:pStyle w:val="null3"/>
              <w:ind w:firstLine="264"/>
              <w:jc w:val="both"/>
            </w:pPr>
            <w:r>
              <w:rPr>
                <w:rFonts w:ascii="仿宋_GB2312" w:hAnsi="仿宋_GB2312" w:cs="仿宋_GB2312" w:eastAsia="仿宋_GB2312"/>
                <w:sz w:val="20"/>
              </w:rPr>
              <w:t>6）帧率：≥20fps；</w:t>
            </w:r>
          </w:p>
          <w:p>
            <w:pPr>
              <w:pStyle w:val="null3"/>
              <w:ind w:firstLine="264"/>
              <w:jc w:val="both"/>
            </w:pPr>
            <w:r>
              <w:rPr>
                <w:rFonts w:ascii="仿宋_GB2312" w:hAnsi="仿宋_GB2312" w:cs="仿宋_GB2312" w:eastAsia="仿宋_GB2312"/>
                <w:sz w:val="20"/>
              </w:rPr>
              <w:t>7）实时成像色彩：彩色；</w:t>
            </w:r>
          </w:p>
          <w:p>
            <w:pPr>
              <w:pStyle w:val="null3"/>
              <w:ind w:firstLine="264"/>
              <w:jc w:val="both"/>
            </w:pPr>
            <w:r>
              <w:rPr>
                <w:rFonts w:ascii="仿宋_GB2312" w:hAnsi="仿宋_GB2312" w:cs="仿宋_GB2312" w:eastAsia="仿宋_GB2312"/>
                <w:sz w:val="20"/>
              </w:rPr>
              <w:t>8）类型：CMOS、卷帘快门；</w:t>
            </w:r>
          </w:p>
          <w:p>
            <w:pPr>
              <w:pStyle w:val="null3"/>
              <w:ind w:firstLine="264"/>
              <w:jc w:val="both"/>
            </w:pPr>
            <w:r>
              <w:rPr>
                <w:rFonts w:ascii="仿宋_GB2312" w:hAnsi="仿宋_GB2312" w:cs="仿宋_GB2312" w:eastAsia="仿宋_GB2312"/>
                <w:sz w:val="20"/>
              </w:rPr>
              <w:t>9）快门模式：支持自动曝光、手动曝光、一键曝光模式；</w:t>
            </w:r>
          </w:p>
          <w:p>
            <w:pPr>
              <w:pStyle w:val="null3"/>
              <w:ind w:firstLine="264"/>
              <w:jc w:val="both"/>
            </w:pPr>
            <w:r>
              <w:rPr>
                <w:rFonts w:ascii="仿宋_GB2312" w:hAnsi="仿宋_GB2312" w:cs="仿宋_GB2312" w:eastAsia="仿宋_GB2312"/>
                <w:sz w:val="20"/>
              </w:rPr>
              <w:t>10）通讯方式：支持TCP、UDP、FTP、ModBus、PROFINET、EtherNet/IP等多种通讯模式；</w:t>
            </w:r>
          </w:p>
          <w:p>
            <w:pPr>
              <w:pStyle w:val="null3"/>
              <w:ind w:firstLine="264"/>
              <w:jc w:val="both"/>
            </w:pPr>
            <w:r>
              <w:rPr>
                <w:rFonts w:ascii="仿宋_GB2312" w:hAnsi="仿宋_GB2312" w:cs="仿宋_GB2312" w:eastAsia="仿宋_GB2312"/>
                <w:sz w:val="20"/>
              </w:rPr>
              <w:t>11）焦距：≥35mm；</w:t>
            </w:r>
          </w:p>
          <w:p>
            <w:pPr>
              <w:pStyle w:val="null3"/>
              <w:ind w:firstLine="264"/>
              <w:jc w:val="both"/>
            </w:pPr>
            <w:r>
              <w:rPr>
                <w:rFonts w:ascii="仿宋_GB2312" w:hAnsi="仿宋_GB2312" w:cs="仿宋_GB2312" w:eastAsia="仿宋_GB2312"/>
                <w:sz w:val="20"/>
              </w:rPr>
              <w:t>12）镜头靶面大小：≥Ф17.6mm；</w:t>
            </w:r>
          </w:p>
          <w:p>
            <w:pPr>
              <w:pStyle w:val="null3"/>
              <w:ind w:firstLine="264"/>
              <w:jc w:val="both"/>
            </w:pPr>
            <w:r>
              <w:rPr>
                <w:rFonts w:ascii="仿宋_GB2312" w:hAnsi="仿宋_GB2312" w:cs="仿宋_GB2312" w:eastAsia="仿宋_GB2312"/>
                <w:sz w:val="20"/>
              </w:rPr>
              <w:t>13）镜头尺寸：≥Ф38mm*47.6mm；</w:t>
            </w:r>
          </w:p>
          <w:p>
            <w:pPr>
              <w:pStyle w:val="null3"/>
              <w:ind w:firstLine="264"/>
              <w:jc w:val="both"/>
            </w:pPr>
            <w:r>
              <w:rPr>
                <w:rFonts w:ascii="仿宋_GB2312" w:hAnsi="仿宋_GB2312" w:cs="仿宋_GB2312" w:eastAsia="仿宋_GB2312"/>
                <w:sz w:val="20"/>
              </w:rPr>
              <w:t>14）工作温度：-10°C～50°C。</w:t>
            </w:r>
          </w:p>
          <w:p>
            <w:pPr>
              <w:pStyle w:val="null3"/>
              <w:ind w:firstLine="264"/>
              <w:jc w:val="both"/>
            </w:pPr>
            <w:r>
              <w:rPr>
                <w:rFonts w:ascii="仿宋_GB2312" w:hAnsi="仿宋_GB2312" w:cs="仿宋_GB2312" w:eastAsia="仿宋_GB2312"/>
                <w:sz w:val="20"/>
              </w:rPr>
              <w:t>15）机器视觉软件</w:t>
            </w:r>
          </w:p>
          <w:p>
            <w:pPr>
              <w:pStyle w:val="null3"/>
              <w:ind w:firstLine="264"/>
              <w:jc w:val="both"/>
            </w:pPr>
            <w:r>
              <w:rPr>
                <w:rFonts w:ascii="仿宋_GB2312" w:hAnsi="仿宋_GB2312" w:cs="仿宋_GB2312" w:eastAsia="仿宋_GB2312"/>
                <w:sz w:val="20"/>
              </w:rPr>
              <w:t>①提供定位功能：≥10个，包括快速特征匹配、高精度特征匹配、圆查找、Blob分析、卡尺工具、边缘查找、边缘交点、平行线查找、位置修正、垂线查找等；</w:t>
            </w:r>
          </w:p>
          <w:p>
            <w:pPr>
              <w:pStyle w:val="null3"/>
              <w:ind w:firstLine="264"/>
              <w:jc w:val="both"/>
            </w:pPr>
            <w:r>
              <w:rPr>
                <w:rFonts w:ascii="仿宋_GB2312" w:hAnsi="仿宋_GB2312" w:cs="仿宋_GB2312" w:eastAsia="仿宋_GB2312"/>
                <w:sz w:val="20"/>
              </w:rPr>
              <w:t>②提供测量工具：≥5个，包括线圆测量、线线测量、点圆测量、亮度测量、像素统计等；</w:t>
            </w:r>
          </w:p>
          <w:p>
            <w:pPr>
              <w:pStyle w:val="null3"/>
              <w:ind w:firstLine="264"/>
              <w:jc w:val="both"/>
            </w:pPr>
            <w:r>
              <w:rPr>
                <w:rFonts w:ascii="仿宋_GB2312" w:hAnsi="仿宋_GB2312" w:cs="仿宋_GB2312" w:eastAsia="仿宋_GB2312"/>
                <w:sz w:val="20"/>
              </w:rPr>
              <w:t>③标定工具：≥5个，包括标定板标定、N点标定、畸变标定、平移旋转、映射标定等；</w:t>
            </w:r>
          </w:p>
          <w:p>
            <w:pPr>
              <w:pStyle w:val="null3"/>
              <w:ind w:firstLine="264"/>
              <w:jc w:val="both"/>
            </w:pPr>
            <w:r>
              <w:rPr>
                <w:rFonts w:ascii="仿宋_GB2312" w:hAnsi="仿宋_GB2312" w:cs="仿宋_GB2312" w:eastAsia="仿宋_GB2312"/>
                <w:sz w:val="20"/>
              </w:rPr>
              <w:t>④图像处理工具：≥10个，包括图像组合、形态学处理、图像二值化、图像滤波、图像增强、清晰度评估、图像修正、仿射变换、圆环展开、几何变换等；</w:t>
            </w:r>
          </w:p>
          <w:p>
            <w:pPr>
              <w:pStyle w:val="null3"/>
              <w:ind w:firstLine="264"/>
              <w:jc w:val="both"/>
            </w:pPr>
            <w:r>
              <w:rPr>
                <w:rFonts w:ascii="仿宋_GB2312" w:hAnsi="仿宋_GB2312" w:cs="仿宋_GB2312" w:eastAsia="仿宋_GB2312"/>
                <w:sz w:val="20"/>
              </w:rPr>
              <w:t>⑤逻辑工具：≥10个，包括条件分支、条件检测、格式化、字符比较、点集、耗时统计、脚本、Group、逻辑、触发模块等；</w:t>
            </w:r>
          </w:p>
          <w:p>
            <w:pPr>
              <w:pStyle w:val="null3"/>
              <w:ind w:firstLine="264"/>
              <w:jc w:val="both"/>
            </w:pPr>
            <w:r>
              <w:rPr>
                <w:rFonts w:ascii="仿宋_GB2312" w:hAnsi="仿宋_GB2312" w:cs="仿宋_GB2312" w:eastAsia="仿宋_GB2312"/>
                <w:sz w:val="20"/>
              </w:rPr>
              <w:t>⑥识别工具：≥3个，包括条码识别、二维码识别、字符识别等。</w:t>
            </w:r>
          </w:p>
          <w:p>
            <w:pPr>
              <w:pStyle w:val="null3"/>
              <w:ind w:firstLine="264"/>
              <w:jc w:val="both"/>
            </w:pPr>
            <w:r>
              <w:rPr>
                <w:rFonts w:ascii="仿宋_GB2312" w:hAnsi="仿宋_GB2312" w:cs="仿宋_GB2312" w:eastAsia="仿宋_GB2312"/>
                <w:sz w:val="20"/>
              </w:rPr>
              <w:t>16）配套机器视觉训练教材，且教材章节需含以下6个部分：</w:t>
            </w:r>
          </w:p>
          <w:p>
            <w:pPr>
              <w:pStyle w:val="null3"/>
              <w:ind w:firstLine="264"/>
              <w:jc w:val="both"/>
            </w:pPr>
            <w:r>
              <w:rPr>
                <w:rFonts w:ascii="仿宋_GB2312" w:hAnsi="仿宋_GB2312" w:cs="仿宋_GB2312" w:eastAsia="仿宋_GB2312"/>
                <w:sz w:val="20"/>
              </w:rPr>
              <w:t>①机器视觉系统的硬件选型（至少须含相机选型、镜头选型、光源选型）；</w:t>
            </w:r>
          </w:p>
          <w:p>
            <w:pPr>
              <w:pStyle w:val="null3"/>
              <w:ind w:firstLine="264"/>
              <w:jc w:val="both"/>
            </w:pPr>
            <w:r>
              <w:rPr>
                <w:rFonts w:ascii="仿宋_GB2312" w:hAnsi="仿宋_GB2312" w:cs="仿宋_GB2312" w:eastAsia="仿宋_GB2312"/>
                <w:sz w:val="20"/>
              </w:rPr>
              <w:t>②认识机器视觉的工作过程（至少须含图像采集、图像处理、图像分析、结果输出）；</w:t>
            </w:r>
          </w:p>
          <w:p>
            <w:pPr>
              <w:pStyle w:val="null3"/>
              <w:ind w:firstLine="264"/>
              <w:jc w:val="both"/>
            </w:pPr>
            <w:r>
              <w:rPr>
                <w:rFonts w:ascii="仿宋_GB2312" w:hAnsi="仿宋_GB2312" w:cs="仿宋_GB2312" w:eastAsia="仿宋_GB2312"/>
                <w:sz w:val="20"/>
              </w:rPr>
              <w:t>③食品包装盒字符识别系统应用（至少须含食品包装盒字符识别系统的视觉程序设计、机器人程序设计、PLC及人机交互程序设计）；</w:t>
            </w:r>
          </w:p>
          <w:p>
            <w:pPr>
              <w:pStyle w:val="null3"/>
              <w:ind w:firstLine="264"/>
              <w:jc w:val="both"/>
            </w:pPr>
            <w:r>
              <w:rPr>
                <w:rFonts w:ascii="仿宋_GB2312" w:hAnsi="仿宋_GB2312" w:cs="仿宋_GB2312" w:eastAsia="仿宋_GB2312"/>
                <w:sz w:val="20"/>
              </w:rPr>
              <w:t>④机械工件尺寸测量系统应用（至少须含机械工件尺寸测量系统的视觉程序设计、机器人程序设计、PLC及人机交互程序设计）；</w:t>
            </w:r>
          </w:p>
          <w:p>
            <w:pPr>
              <w:pStyle w:val="null3"/>
              <w:ind w:firstLine="264"/>
              <w:jc w:val="both"/>
            </w:pPr>
            <w:r>
              <w:rPr>
                <w:rFonts w:ascii="仿宋_GB2312" w:hAnsi="仿宋_GB2312" w:cs="仿宋_GB2312" w:eastAsia="仿宋_GB2312"/>
                <w:sz w:val="20"/>
              </w:rPr>
              <w:t>⑤机器视觉胶囊检测系统应用（至少须含机器视觉胶囊检测系统的视觉程序设计、机器人程序设计、PLC及人机交互程序设计）；</w:t>
            </w:r>
          </w:p>
          <w:p>
            <w:pPr>
              <w:pStyle w:val="null3"/>
              <w:ind w:firstLine="264"/>
              <w:jc w:val="both"/>
            </w:pPr>
            <w:r>
              <w:rPr>
                <w:rFonts w:ascii="仿宋_GB2312" w:hAnsi="仿宋_GB2312" w:cs="仿宋_GB2312" w:eastAsia="仿宋_GB2312"/>
                <w:sz w:val="20"/>
              </w:rPr>
              <w:t>⑥手机引导定位装配系统应用（至少须含手机引导定位装配系统的视觉程序设计、机器人程序设计）。</w:t>
            </w:r>
          </w:p>
          <w:p>
            <w:pPr>
              <w:pStyle w:val="null3"/>
              <w:ind w:firstLine="264"/>
              <w:jc w:val="both"/>
            </w:pPr>
            <w:r>
              <w:rPr>
                <w:rFonts w:ascii="仿宋_GB2312" w:hAnsi="仿宋_GB2312" w:cs="仿宋_GB2312" w:eastAsia="仿宋_GB2312"/>
                <w:sz w:val="20"/>
              </w:rPr>
              <w:t>10、气功供料模块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1）用于存放工件及推出供料使用。模块由模块底板、铝型材支架、有机玻璃料管、传感器、双轴气缸、电磁阀、推料块、拉手等组成。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1）外形尺寸（长*宽*高）：≥300mm*300mm*330mm；</w:t>
            </w:r>
          </w:p>
          <w:p>
            <w:pPr>
              <w:pStyle w:val="null3"/>
              <w:ind w:firstLine="264"/>
              <w:jc w:val="both"/>
            </w:pPr>
            <w:r>
              <w:rPr>
                <w:rFonts w:ascii="仿宋_GB2312" w:hAnsi="仿宋_GB2312" w:cs="仿宋_GB2312" w:eastAsia="仿宋_GB2312"/>
                <w:sz w:val="20"/>
              </w:rPr>
              <w:t>2）装置形态：垂直顺序落料式；</w:t>
            </w:r>
          </w:p>
          <w:p>
            <w:pPr>
              <w:pStyle w:val="null3"/>
              <w:ind w:firstLine="264"/>
              <w:jc w:val="both"/>
            </w:pPr>
            <w:r>
              <w:rPr>
                <w:rFonts w:ascii="仿宋_GB2312" w:hAnsi="仿宋_GB2312" w:cs="仿宋_GB2312" w:eastAsia="仿宋_GB2312"/>
                <w:sz w:val="20"/>
              </w:rPr>
              <w:t>3）有机玻璃料管长：≥100mm；</w:t>
            </w:r>
          </w:p>
          <w:p>
            <w:pPr>
              <w:pStyle w:val="null3"/>
              <w:ind w:firstLine="264"/>
              <w:jc w:val="both"/>
            </w:pPr>
            <w:r>
              <w:rPr>
                <w:rFonts w:ascii="仿宋_GB2312" w:hAnsi="仿宋_GB2312" w:cs="仿宋_GB2312" w:eastAsia="仿宋_GB2312"/>
                <w:sz w:val="20"/>
              </w:rPr>
              <w:t>4）驱动气缸行程：≥70mm；</w:t>
            </w:r>
          </w:p>
          <w:p>
            <w:pPr>
              <w:pStyle w:val="null3"/>
              <w:ind w:firstLine="264"/>
              <w:jc w:val="both"/>
            </w:pPr>
            <w:r>
              <w:rPr>
                <w:rFonts w:ascii="仿宋_GB2312" w:hAnsi="仿宋_GB2312" w:cs="仿宋_GB2312" w:eastAsia="仿宋_GB2312"/>
                <w:sz w:val="20"/>
              </w:rPr>
              <w:t>5）安装形式：适配标准实训台定位安装。</w:t>
            </w:r>
          </w:p>
          <w:p>
            <w:pPr>
              <w:pStyle w:val="null3"/>
              <w:ind w:firstLine="264"/>
              <w:jc w:val="both"/>
            </w:pPr>
            <w:r>
              <w:rPr>
                <w:rFonts w:ascii="仿宋_GB2312" w:hAnsi="仿宋_GB2312" w:cs="仿宋_GB2312" w:eastAsia="仿宋_GB2312"/>
                <w:sz w:val="20"/>
              </w:rPr>
              <w:t>11、码垛模块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1）用于多型工件的搬运并码垛使用。模块由模块底板、工件滑倒、码垛平台、拉手等组成。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1）外形尺寸（长*宽*高）：≥300mm*300mm*160mm；</w:t>
            </w:r>
          </w:p>
          <w:p>
            <w:pPr>
              <w:pStyle w:val="null3"/>
              <w:ind w:firstLine="264"/>
              <w:jc w:val="both"/>
            </w:pPr>
            <w:r>
              <w:rPr>
                <w:rFonts w:ascii="仿宋_GB2312" w:hAnsi="仿宋_GB2312" w:cs="仿宋_GB2312" w:eastAsia="仿宋_GB2312"/>
                <w:sz w:val="20"/>
              </w:rPr>
              <w:t>2）供料形式：双滑道供料；</w:t>
            </w:r>
          </w:p>
          <w:p>
            <w:pPr>
              <w:pStyle w:val="null3"/>
              <w:ind w:firstLine="264"/>
              <w:jc w:val="both"/>
            </w:pPr>
            <w:r>
              <w:rPr>
                <w:rFonts w:ascii="仿宋_GB2312" w:hAnsi="仿宋_GB2312" w:cs="仿宋_GB2312" w:eastAsia="仿宋_GB2312"/>
                <w:sz w:val="20"/>
              </w:rPr>
              <w:t>3）码垛形式：平面码垛；</w:t>
            </w:r>
          </w:p>
          <w:p>
            <w:pPr>
              <w:pStyle w:val="null3"/>
              <w:ind w:firstLine="264"/>
              <w:jc w:val="both"/>
            </w:pPr>
            <w:r>
              <w:rPr>
                <w:rFonts w:ascii="仿宋_GB2312" w:hAnsi="仿宋_GB2312" w:cs="仿宋_GB2312" w:eastAsia="仿宋_GB2312"/>
                <w:sz w:val="20"/>
              </w:rPr>
              <w:t>4）码垛工件：正方形、长方形；</w:t>
            </w:r>
          </w:p>
          <w:p>
            <w:pPr>
              <w:pStyle w:val="null3"/>
              <w:ind w:firstLine="264"/>
              <w:jc w:val="both"/>
            </w:pPr>
            <w:r>
              <w:rPr>
                <w:rFonts w:ascii="仿宋_GB2312" w:hAnsi="仿宋_GB2312" w:cs="仿宋_GB2312" w:eastAsia="仿宋_GB2312"/>
                <w:sz w:val="20"/>
              </w:rPr>
              <w:t>5）安装形式：适配标准实训台定位安装。</w:t>
            </w:r>
          </w:p>
          <w:p>
            <w:pPr>
              <w:pStyle w:val="null3"/>
              <w:ind w:firstLine="264"/>
              <w:jc w:val="both"/>
            </w:pPr>
            <w:r>
              <w:rPr>
                <w:rFonts w:ascii="仿宋_GB2312" w:hAnsi="仿宋_GB2312" w:cs="仿宋_GB2312" w:eastAsia="仿宋_GB2312"/>
                <w:sz w:val="20"/>
              </w:rPr>
              <w:t>12、底座平台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1）用于放置功能模块使用，平台由底板、支架、顶板组成。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1）外形尺寸（长*宽*高）：≥300mm*300mm*160mm；</w:t>
            </w:r>
          </w:p>
          <w:p>
            <w:pPr>
              <w:pStyle w:val="null3"/>
              <w:ind w:firstLine="264"/>
              <w:jc w:val="both"/>
            </w:pPr>
            <w:r>
              <w:rPr>
                <w:rFonts w:ascii="仿宋_GB2312" w:hAnsi="仿宋_GB2312" w:cs="仿宋_GB2312" w:eastAsia="仿宋_GB2312"/>
                <w:sz w:val="20"/>
              </w:rPr>
              <w:t>2）表面形式：棋盘格；</w:t>
            </w:r>
          </w:p>
          <w:p>
            <w:pPr>
              <w:pStyle w:val="null3"/>
              <w:ind w:firstLine="264"/>
              <w:jc w:val="both"/>
            </w:pPr>
            <w:r>
              <w:rPr>
                <w:rFonts w:ascii="仿宋_GB2312" w:hAnsi="仿宋_GB2312" w:cs="仿宋_GB2312" w:eastAsia="仿宋_GB2312"/>
                <w:sz w:val="20"/>
              </w:rPr>
              <w:t>3）安装形式：适配标准实训台定位安装。</w:t>
            </w:r>
          </w:p>
          <w:p>
            <w:pPr>
              <w:pStyle w:val="null3"/>
              <w:ind w:firstLine="264"/>
              <w:jc w:val="both"/>
            </w:pPr>
            <w:r>
              <w:rPr>
                <w:rFonts w:ascii="仿宋_GB2312" w:hAnsi="仿宋_GB2312" w:cs="仿宋_GB2312" w:eastAsia="仿宋_GB2312"/>
                <w:sz w:val="20"/>
              </w:rPr>
              <w:t>13、搬运模块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1）用于关节套件及电机套件搬运并装配使用。模块由模块底板、工件固定位、拉手等组成。同时满足电机套件（3种类型工件组合成套）与关节套件（6种类型工件组合成套）的搬运与装配功能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1）外形尺寸（长*宽*高）：≥300mm*300mm*45mm；</w:t>
            </w:r>
          </w:p>
          <w:p>
            <w:pPr>
              <w:pStyle w:val="null3"/>
              <w:ind w:firstLine="264"/>
              <w:jc w:val="both"/>
            </w:pPr>
            <w:r>
              <w:rPr>
                <w:rFonts w:ascii="仿宋_GB2312" w:hAnsi="仿宋_GB2312" w:cs="仿宋_GB2312" w:eastAsia="仿宋_GB2312"/>
                <w:sz w:val="20"/>
              </w:rPr>
              <w:t>2）搬运编码工件：6种零件组成的关节套件；</w:t>
            </w:r>
          </w:p>
          <w:p>
            <w:pPr>
              <w:pStyle w:val="null3"/>
              <w:ind w:firstLine="264"/>
              <w:jc w:val="both"/>
            </w:pPr>
            <w:r>
              <w:rPr>
                <w:rFonts w:ascii="仿宋_GB2312" w:hAnsi="仿宋_GB2312" w:cs="仿宋_GB2312" w:eastAsia="仿宋_GB2312"/>
                <w:sz w:val="20"/>
              </w:rPr>
              <w:t>3）存放工件种类：≥6种；</w:t>
            </w:r>
          </w:p>
          <w:p>
            <w:pPr>
              <w:pStyle w:val="null3"/>
              <w:ind w:firstLine="264"/>
              <w:jc w:val="both"/>
            </w:pPr>
            <w:r>
              <w:rPr>
                <w:rFonts w:ascii="仿宋_GB2312" w:hAnsi="仿宋_GB2312" w:cs="仿宋_GB2312" w:eastAsia="仿宋_GB2312"/>
                <w:sz w:val="20"/>
              </w:rPr>
              <w:t>4）安装形式：适配标准实训台定位安装。</w:t>
            </w:r>
          </w:p>
          <w:p>
            <w:pPr>
              <w:pStyle w:val="null3"/>
              <w:ind w:firstLine="264"/>
              <w:jc w:val="both"/>
            </w:pPr>
            <w:r>
              <w:rPr>
                <w:rFonts w:ascii="仿宋_GB2312" w:hAnsi="仿宋_GB2312" w:cs="仿宋_GB2312" w:eastAsia="仿宋_GB2312"/>
                <w:sz w:val="20"/>
              </w:rPr>
              <w:t>14、涂胶模块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1）用于机器人进行涂胶工作使用。模块由模块底板、涂胶零件组件、拉手等组成。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1）外形尺寸（长*宽*高）：≥300mm*300mm*160mm；</w:t>
            </w:r>
          </w:p>
          <w:p>
            <w:pPr>
              <w:pStyle w:val="null3"/>
              <w:ind w:firstLine="264"/>
              <w:jc w:val="both"/>
            </w:pPr>
            <w:r>
              <w:rPr>
                <w:rFonts w:ascii="仿宋_GB2312" w:hAnsi="仿宋_GB2312" w:cs="仿宋_GB2312" w:eastAsia="仿宋_GB2312"/>
                <w:sz w:val="20"/>
              </w:rPr>
              <w:t>2）涂胶工件：尼龙工件；</w:t>
            </w:r>
          </w:p>
          <w:p>
            <w:pPr>
              <w:pStyle w:val="null3"/>
              <w:ind w:firstLine="264"/>
              <w:jc w:val="both"/>
            </w:pPr>
            <w:r>
              <w:rPr>
                <w:rFonts w:ascii="仿宋_GB2312" w:hAnsi="仿宋_GB2312" w:cs="仿宋_GB2312" w:eastAsia="仿宋_GB2312"/>
                <w:sz w:val="20"/>
              </w:rPr>
              <w:t>3）安装形式：适配标准实训台定位安装。</w:t>
            </w:r>
          </w:p>
          <w:p>
            <w:pPr>
              <w:pStyle w:val="null3"/>
              <w:ind w:firstLine="264"/>
              <w:jc w:val="both"/>
            </w:pPr>
            <w:r>
              <w:rPr>
                <w:rFonts w:ascii="仿宋_GB2312" w:hAnsi="仿宋_GB2312" w:cs="仿宋_GB2312" w:eastAsia="仿宋_GB2312"/>
                <w:sz w:val="20"/>
              </w:rPr>
              <w:t>15、循迹模块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1）由模块底座、循迹板、描图标志等组成，模块底座两侧折弯把手，方便取放。在示教过程中，实现其循迹描图的多样化。</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1）外形尺寸（长*宽*高）：≥300mm*300mm*95mm；</w:t>
            </w:r>
          </w:p>
          <w:p>
            <w:pPr>
              <w:pStyle w:val="null3"/>
              <w:ind w:firstLine="264"/>
              <w:jc w:val="both"/>
            </w:pPr>
            <w:r>
              <w:rPr>
                <w:rFonts w:ascii="仿宋_GB2312" w:hAnsi="仿宋_GB2312" w:cs="仿宋_GB2312" w:eastAsia="仿宋_GB2312"/>
                <w:sz w:val="20"/>
              </w:rPr>
              <w:t>2）循迹图案：几何图形；</w:t>
            </w:r>
          </w:p>
          <w:p>
            <w:pPr>
              <w:pStyle w:val="null3"/>
              <w:ind w:firstLine="264"/>
              <w:jc w:val="both"/>
            </w:pPr>
            <w:r>
              <w:rPr>
                <w:rFonts w:ascii="仿宋_GB2312" w:hAnsi="仿宋_GB2312" w:cs="仿宋_GB2312" w:eastAsia="仿宋_GB2312"/>
                <w:sz w:val="20"/>
              </w:rPr>
              <w:t>3）安装形式：适配标准实训台定位安装。</w:t>
            </w:r>
          </w:p>
          <w:p>
            <w:pPr>
              <w:pStyle w:val="null3"/>
              <w:ind w:firstLine="264"/>
              <w:jc w:val="both"/>
            </w:pPr>
            <w:r>
              <w:rPr>
                <w:rFonts w:ascii="仿宋_GB2312" w:hAnsi="仿宋_GB2312" w:cs="仿宋_GB2312" w:eastAsia="仿宋_GB2312"/>
                <w:sz w:val="20"/>
              </w:rPr>
              <w:t>16、绘图模块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1）用于平面绘图及斜面绘图使用，可根据需要自行调节绘图板的角度。模块由模块底板、绘图板、支架、拉手等组成。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2）技术参数：</w:t>
            </w:r>
          </w:p>
          <w:p>
            <w:pPr>
              <w:pStyle w:val="null3"/>
              <w:ind w:firstLine="264"/>
              <w:jc w:val="both"/>
            </w:pPr>
            <w:r>
              <w:rPr>
                <w:rFonts w:ascii="仿宋_GB2312" w:hAnsi="仿宋_GB2312" w:cs="仿宋_GB2312" w:eastAsia="仿宋_GB2312"/>
                <w:sz w:val="20"/>
              </w:rPr>
              <w:t>1）外形尺寸（长*宽*高）：≥300mm*300mm*40mm、高度可调；</w:t>
            </w:r>
          </w:p>
          <w:p>
            <w:pPr>
              <w:pStyle w:val="null3"/>
              <w:ind w:firstLine="264"/>
              <w:jc w:val="both"/>
            </w:pPr>
            <w:r>
              <w:rPr>
                <w:rFonts w:ascii="仿宋_GB2312" w:hAnsi="仿宋_GB2312" w:cs="仿宋_GB2312" w:eastAsia="仿宋_GB2312"/>
                <w:sz w:val="20"/>
              </w:rPr>
              <w:t>2）绘图板尺寸（长*宽*高）：≥260mm*230mm*6mm；</w:t>
            </w:r>
          </w:p>
          <w:p>
            <w:pPr>
              <w:pStyle w:val="null3"/>
              <w:ind w:firstLine="264"/>
              <w:jc w:val="both"/>
            </w:pPr>
            <w:r>
              <w:rPr>
                <w:rFonts w:ascii="仿宋_GB2312" w:hAnsi="仿宋_GB2312" w:cs="仿宋_GB2312" w:eastAsia="仿宋_GB2312"/>
                <w:sz w:val="20"/>
              </w:rPr>
              <w:t>3）安装形式：适配标准实训台定位安装。</w:t>
            </w:r>
          </w:p>
          <w:p>
            <w:pPr>
              <w:pStyle w:val="null3"/>
              <w:ind w:firstLine="264"/>
              <w:jc w:val="both"/>
            </w:pPr>
            <w:r>
              <w:rPr>
                <w:rFonts w:ascii="仿宋_GB2312" w:hAnsi="仿宋_GB2312" w:cs="仿宋_GB2312" w:eastAsia="仿宋_GB2312"/>
                <w:sz w:val="20"/>
              </w:rPr>
              <w:t>17.电气控制系统</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数据的交互与处理使用。模块由电气控制系统、人机界面等组成，可实现系统整体的通讯控制，以及人机触屏交互功能。人机界面是为实现高性能可视化应用而设计的，具备舒适性、多功能和多集成接口的特点。人机界面不锈钢前端面板，IP65防护等级，可应用于复杂恶劣的工作环境。</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2）PLC技术参数：</w:t>
            </w:r>
          </w:p>
          <w:p>
            <w:pPr>
              <w:pStyle w:val="null3"/>
              <w:ind w:firstLine="264"/>
              <w:jc w:val="both"/>
            </w:pPr>
            <w:r>
              <w:rPr>
                <w:rFonts w:ascii="仿宋_GB2312" w:hAnsi="仿宋_GB2312" w:cs="仿宋_GB2312" w:eastAsia="仿宋_GB2312"/>
                <w:sz w:val="20"/>
              </w:rPr>
              <w:t>1）工作存储器：≥100KB；</w:t>
            </w:r>
          </w:p>
          <w:p>
            <w:pPr>
              <w:pStyle w:val="null3"/>
              <w:ind w:firstLine="264"/>
              <w:jc w:val="both"/>
            </w:pPr>
            <w:r>
              <w:rPr>
                <w:rFonts w:ascii="仿宋_GB2312" w:hAnsi="仿宋_GB2312" w:cs="仿宋_GB2312" w:eastAsia="仿宋_GB2312"/>
                <w:sz w:val="20"/>
              </w:rPr>
              <w:t>2）装载存储器：≥4MB；</w:t>
            </w:r>
          </w:p>
          <w:p>
            <w:pPr>
              <w:pStyle w:val="null3"/>
              <w:ind w:firstLine="264"/>
              <w:jc w:val="both"/>
            </w:pPr>
            <w:r>
              <w:rPr>
                <w:rFonts w:ascii="仿宋_GB2312" w:hAnsi="仿宋_GB2312" w:cs="仿宋_GB2312" w:eastAsia="仿宋_GB2312"/>
                <w:sz w:val="20"/>
              </w:rPr>
              <w:t>3）保持性存储器：≥10KB；</w:t>
            </w:r>
          </w:p>
          <w:p>
            <w:pPr>
              <w:pStyle w:val="null3"/>
              <w:ind w:firstLine="264"/>
              <w:jc w:val="both"/>
            </w:pPr>
            <w:r>
              <w:rPr>
                <w:rFonts w:ascii="仿宋_GB2312" w:hAnsi="仿宋_GB2312" w:cs="仿宋_GB2312" w:eastAsia="仿宋_GB2312"/>
                <w:sz w:val="20"/>
              </w:rPr>
              <w:t>4）数字量：≥14DI/10DO；</w:t>
            </w:r>
          </w:p>
          <w:p>
            <w:pPr>
              <w:pStyle w:val="null3"/>
              <w:ind w:firstLine="264"/>
              <w:jc w:val="both"/>
            </w:pPr>
            <w:r>
              <w:rPr>
                <w:rFonts w:ascii="仿宋_GB2312" w:hAnsi="仿宋_GB2312" w:cs="仿宋_GB2312" w:eastAsia="仿宋_GB2312"/>
                <w:sz w:val="20"/>
              </w:rPr>
              <w:t>5）模拟量：≥2AI；</w:t>
            </w:r>
          </w:p>
          <w:p>
            <w:pPr>
              <w:pStyle w:val="null3"/>
              <w:ind w:firstLine="264"/>
              <w:jc w:val="both"/>
            </w:pPr>
            <w:r>
              <w:rPr>
                <w:rFonts w:ascii="仿宋_GB2312" w:hAnsi="仿宋_GB2312" w:cs="仿宋_GB2312" w:eastAsia="仿宋_GB2312"/>
                <w:sz w:val="20"/>
              </w:rPr>
              <w:t>6）位存储器（M区）：≥8192字节；</w:t>
            </w:r>
          </w:p>
          <w:p>
            <w:pPr>
              <w:pStyle w:val="null3"/>
              <w:ind w:firstLine="264"/>
              <w:jc w:val="both"/>
            </w:pPr>
            <w:r>
              <w:rPr>
                <w:rFonts w:ascii="仿宋_GB2312" w:hAnsi="仿宋_GB2312" w:cs="仿宋_GB2312" w:eastAsia="仿宋_GB2312"/>
                <w:sz w:val="20"/>
              </w:rPr>
              <w:t>7）高速计数器：≥6路；</w:t>
            </w:r>
          </w:p>
          <w:p>
            <w:pPr>
              <w:pStyle w:val="null3"/>
              <w:ind w:firstLine="264"/>
              <w:jc w:val="both"/>
            </w:pPr>
            <w:r>
              <w:rPr>
                <w:rFonts w:ascii="仿宋_GB2312" w:hAnsi="仿宋_GB2312" w:cs="仿宋_GB2312" w:eastAsia="仿宋_GB2312"/>
                <w:sz w:val="20"/>
              </w:rPr>
              <w:t>8）脉冲输出：≥4路；</w:t>
            </w:r>
          </w:p>
          <w:p>
            <w:pPr>
              <w:pStyle w:val="null3"/>
              <w:ind w:firstLine="264"/>
              <w:jc w:val="both"/>
            </w:pPr>
            <w:r>
              <w:rPr>
                <w:rFonts w:ascii="仿宋_GB2312" w:hAnsi="仿宋_GB2312" w:cs="仿宋_GB2312" w:eastAsia="仿宋_GB2312"/>
                <w:sz w:val="20"/>
              </w:rPr>
              <w:t>9）以太网端口数：≥1个；</w:t>
            </w:r>
          </w:p>
          <w:p>
            <w:pPr>
              <w:pStyle w:val="null3"/>
              <w:ind w:firstLine="264"/>
              <w:jc w:val="both"/>
            </w:pPr>
            <w:r>
              <w:rPr>
                <w:rFonts w:ascii="仿宋_GB2312" w:hAnsi="仿宋_GB2312" w:cs="仿宋_GB2312" w:eastAsia="仿宋_GB2312"/>
                <w:sz w:val="20"/>
              </w:rPr>
              <w:t>10）通信协议支持：PROFINET、TCP/IP、SNMP、DCP、LLDP、ISO-on-TCP、UDP、Modbus、S7等通信协议，PROFIBUS、AS接口通信扩展可支持；</w:t>
            </w:r>
          </w:p>
          <w:p>
            <w:pPr>
              <w:pStyle w:val="null3"/>
              <w:ind w:firstLine="264"/>
              <w:jc w:val="both"/>
            </w:pPr>
            <w:r>
              <w:rPr>
                <w:rFonts w:ascii="仿宋_GB2312" w:hAnsi="仿宋_GB2312" w:cs="仿宋_GB2312" w:eastAsia="仿宋_GB2312"/>
                <w:sz w:val="20"/>
              </w:rPr>
              <w:t>11）数据传输率：≥10/100Mb/s。</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3）人机界面技术参数：</w:t>
            </w:r>
          </w:p>
          <w:p>
            <w:pPr>
              <w:pStyle w:val="null3"/>
              <w:ind w:firstLine="264"/>
              <w:jc w:val="both"/>
            </w:pPr>
            <w:r>
              <w:rPr>
                <w:rFonts w:ascii="仿宋_GB2312" w:hAnsi="仿宋_GB2312" w:cs="仿宋_GB2312" w:eastAsia="仿宋_GB2312"/>
                <w:sz w:val="20"/>
              </w:rPr>
              <w:t>1）液晶屏：≥10.0英寸TFT；</w:t>
            </w:r>
          </w:p>
          <w:p>
            <w:pPr>
              <w:pStyle w:val="null3"/>
              <w:ind w:firstLine="264"/>
              <w:jc w:val="both"/>
            </w:pPr>
            <w:r>
              <w:rPr>
                <w:rFonts w:ascii="仿宋_GB2312" w:hAnsi="仿宋_GB2312" w:cs="仿宋_GB2312" w:eastAsia="仿宋_GB2312"/>
                <w:sz w:val="20"/>
              </w:rPr>
              <w:t>2）背光灯：LED；</w:t>
            </w:r>
          </w:p>
          <w:p>
            <w:pPr>
              <w:pStyle w:val="null3"/>
              <w:ind w:firstLine="264"/>
              <w:jc w:val="both"/>
            </w:pPr>
            <w:r>
              <w:rPr>
                <w:rFonts w:ascii="仿宋_GB2312" w:hAnsi="仿宋_GB2312" w:cs="仿宋_GB2312" w:eastAsia="仿宋_GB2312"/>
                <w:sz w:val="20"/>
              </w:rPr>
              <w:t>3）显示颜色：≥262K；</w:t>
            </w:r>
          </w:p>
          <w:p>
            <w:pPr>
              <w:pStyle w:val="null3"/>
              <w:ind w:firstLine="264"/>
              <w:jc w:val="both"/>
            </w:pPr>
            <w:r>
              <w:rPr>
                <w:rFonts w:ascii="仿宋_GB2312" w:hAnsi="仿宋_GB2312" w:cs="仿宋_GB2312" w:eastAsia="仿宋_GB2312"/>
                <w:sz w:val="20"/>
              </w:rPr>
              <w:t>4）分辨率：≥1024×600；</w:t>
            </w:r>
          </w:p>
          <w:p>
            <w:pPr>
              <w:pStyle w:val="null3"/>
              <w:ind w:firstLine="264"/>
              <w:jc w:val="both"/>
            </w:pPr>
            <w:r>
              <w:rPr>
                <w:rFonts w:ascii="仿宋_GB2312" w:hAnsi="仿宋_GB2312" w:cs="仿宋_GB2312" w:eastAsia="仿宋_GB2312"/>
                <w:sz w:val="20"/>
              </w:rPr>
              <w:t>5）触摸屏：电阻式；</w:t>
            </w:r>
          </w:p>
          <w:p>
            <w:pPr>
              <w:pStyle w:val="null3"/>
              <w:ind w:firstLine="264"/>
              <w:jc w:val="both"/>
            </w:pPr>
            <w:r>
              <w:rPr>
                <w:rFonts w:ascii="仿宋_GB2312" w:hAnsi="仿宋_GB2312" w:cs="仿宋_GB2312" w:eastAsia="仿宋_GB2312"/>
                <w:sz w:val="20"/>
              </w:rPr>
              <w:t>6）输入电压：DC24V±20%；</w:t>
            </w:r>
          </w:p>
          <w:p>
            <w:pPr>
              <w:pStyle w:val="null3"/>
              <w:ind w:firstLine="264"/>
              <w:jc w:val="both"/>
            </w:pPr>
            <w:r>
              <w:rPr>
                <w:rFonts w:ascii="仿宋_GB2312" w:hAnsi="仿宋_GB2312" w:cs="仿宋_GB2312" w:eastAsia="仿宋_GB2312"/>
                <w:sz w:val="20"/>
              </w:rPr>
              <w:t>7）额定功率：≥6W；</w:t>
            </w:r>
          </w:p>
          <w:p>
            <w:pPr>
              <w:pStyle w:val="null3"/>
              <w:ind w:firstLine="264"/>
              <w:jc w:val="both"/>
            </w:pPr>
            <w:r>
              <w:rPr>
                <w:rFonts w:ascii="仿宋_GB2312" w:hAnsi="仿宋_GB2312" w:cs="仿宋_GB2312" w:eastAsia="仿宋_GB2312"/>
                <w:sz w:val="20"/>
              </w:rPr>
              <w:t>8）处理器：频率≥800MHz；</w:t>
            </w:r>
          </w:p>
          <w:p>
            <w:pPr>
              <w:pStyle w:val="null3"/>
              <w:ind w:firstLine="264"/>
              <w:jc w:val="both"/>
            </w:pPr>
            <w:r>
              <w:rPr>
                <w:rFonts w:ascii="仿宋_GB2312" w:hAnsi="仿宋_GB2312" w:cs="仿宋_GB2312" w:eastAsia="仿宋_GB2312"/>
                <w:sz w:val="20"/>
              </w:rPr>
              <w:t>9）内存：≥256M；</w:t>
            </w:r>
          </w:p>
          <w:p>
            <w:pPr>
              <w:pStyle w:val="null3"/>
              <w:ind w:firstLine="264"/>
              <w:jc w:val="both"/>
            </w:pPr>
            <w:r>
              <w:rPr>
                <w:rFonts w:ascii="仿宋_GB2312" w:hAnsi="仿宋_GB2312" w:cs="仿宋_GB2312" w:eastAsia="仿宋_GB2312"/>
                <w:sz w:val="20"/>
              </w:rPr>
              <w:t>10）系统存储：≥128M；</w:t>
            </w:r>
          </w:p>
          <w:p>
            <w:pPr>
              <w:pStyle w:val="null3"/>
              <w:ind w:firstLine="264"/>
              <w:jc w:val="both"/>
            </w:pPr>
            <w:r>
              <w:rPr>
                <w:rFonts w:ascii="仿宋_GB2312" w:hAnsi="仿宋_GB2312" w:cs="仿宋_GB2312" w:eastAsia="仿宋_GB2312"/>
                <w:sz w:val="20"/>
              </w:rPr>
              <w:t>11）硬件时钟：内置；</w:t>
            </w:r>
          </w:p>
          <w:p>
            <w:pPr>
              <w:pStyle w:val="null3"/>
              <w:ind w:firstLine="264"/>
              <w:jc w:val="both"/>
            </w:pPr>
            <w:r>
              <w:rPr>
                <w:rFonts w:ascii="仿宋_GB2312" w:hAnsi="仿宋_GB2312" w:cs="仿宋_GB2312" w:eastAsia="仿宋_GB2312"/>
                <w:sz w:val="20"/>
              </w:rPr>
              <w:t>12）组态软件：配套。</w:t>
            </w:r>
          </w:p>
          <w:p>
            <w:pPr>
              <w:pStyle w:val="null3"/>
              <w:ind w:firstLine="264"/>
              <w:jc w:val="both"/>
            </w:pPr>
            <w:r>
              <w:rPr>
                <w:rFonts w:ascii="仿宋_GB2312" w:hAnsi="仿宋_GB2312" w:cs="仿宋_GB2312" w:eastAsia="仿宋_GB2312"/>
                <w:sz w:val="20"/>
              </w:rPr>
              <w:t>13）串行接口：</w:t>
            </w:r>
          </w:p>
          <w:p>
            <w:pPr>
              <w:pStyle w:val="null3"/>
              <w:ind w:firstLine="264"/>
              <w:jc w:val="both"/>
            </w:pPr>
            <w:r>
              <w:rPr>
                <w:rFonts w:ascii="仿宋_GB2312" w:hAnsi="仿宋_GB2312" w:cs="仿宋_GB2312" w:eastAsia="仿宋_GB2312"/>
                <w:sz w:val="20"/>
              </w:rPr>
              <w:t>①方式1：COM1(RS232），COM2(RS485），COM3(RS485）；</w:t>
            </w:r>
          </w:p>
          <w:p>
            <w:pPr>
              <w:pStyle w:val="null3"/>
              <w:ind w:firstLine="264"/>
              <w:jc w:val="both"/>
            </w:pPr>
            <w:r>
              <w:rPr>
                <w:rFonts w:ascii="仿宋_GB2312" w:hAnsi="仿宋_GB2312" w:cs="仿宋_GB2312" w:eastAsia="仿宋_GB2312"/>
                <w:sz w:val="20"/>
              </w:rPr>
              <w:t>②方式2：COM1(RS232），COM9(RS422）。</w:t>
            </w:r>
          </w:p>
          <w:p>
            <w:pPr>
              <w:pStyle w:val="null3"/>
              <w:ind w:firstLine="264"/>
              <w:jc w:val="both"/>
            </w:pPr>
            <w:r>
              <w:rPr>
                <w:rFonts w:ascii="仿宋_GB2312" w:hAnsi="仿宋_GB2312" w:cs="仿宋_GB2312" w:eastAsia="仿宋_GB2312"/>
                <w:sz w:val="20"/>
              </w:rPr>
              <w:t>14）USB接口：1×USB主/从；</w:t>
            </w:r>
          </w:p>
          <w:p>
            <w:pPr>
              <w:pStyle w:val="null3"/>
              <w:ind w:firstLine="264"/>
              <w:jc w:val="both"/>
            </w:pPr>
            <w:r>
              <w:rPr>
                <w:rFonts w:ascii="仿宋_GB2312" w:hAnsi="仿宋_GB2312" w:cs="仿宋_GB2312" w:eastAsia="仿宋_GB2312"/>
                <w:sz w:val="20"/>
              </w:rPr>
              <w:t>15）以太网口：10/100M自适应；</w:t>
            </w:r>
          </w:p>
          <w:p>
            <w:pPr>
              <w:pStyle w:val="null3"/>
              <w:ind w:firstLine="264"/>
              <w:jc w:val="both"/>
            </w:pPr>
            <w:r>
              <w:rPr>
                <w:rFonts w:ascii="仿宋_GB2312" w:hAnsi="仿宋_GB2312" w:cs="仿宋_GB2312" w:eastAsia="仿宋_GB2312"/>
                <w:sz w:val="20"/>
              </w:rPr>
              <w:t>16）机壳材料：工程塑料；</w:t>
            </w:r>
          </w:p>
          <w:p>
            <w:pPr>
              <w:pStyle w:val="null3"/>
              <w:ind w:firstLine="264"/>
              <w:jc w:val="both"/>
            </w:pPr>
            <w:r>
              <w:rPr>
                <w:rFonts w:ascii="仿宋_GB2312" w:hAnsi="仿宋_GB2312" w:cs="仿宋_GB2312" w:eastAsia="仿宋_GB2312"/>
                <w:sz w:val="20"/>
              </w:rPr>
              <w:t>17）防护等级：IP65。</w:t>
            </w:r>
          </w:p>
          <w:p>
            <w:pPr>
              <w:pStyle w:val="null3"/>
              <w:ind w:firstLine="264"/>
              <w:jc w:val="both"/>
            </w:pPr>
            <w:r>
              <w:rPr>
                <w:rFonts w:ascii="仿宋_GB2312" w:hAnsi="仿宋_GB2312" w:cs="仿宋_GB2312" w:eastAsia="仿宋_GB2312"/>
                <w:sz w:val="20"/>
              </w:rPr>
              <w:t>18、数据采集系统</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1）用于对设备运行状态进行数据采集与分析；</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2）能够实时读取及监控PLC、机器人、IO等模块的数据；</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3）能够与多品牌PLC、机器人、IO等模块进行数据交互；</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4）能够实时读取多品牌PLC数据；</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5）支持在线可视化及远程可视化，直观的呈现设备的运行状态，配置数据；</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6）支持工业云平台服务，设备的运行状态，配置数据可实时上传云数据库；</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7）支持物联网的接入，能够实时的发布相关数据；</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8）为保障数据采集分析系统的稳定运行，系统内部有看门狗服务；</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9）支持多达6种组合式设备的接入，并为其提供数据交互服务。</w:t>
            </w:r>
          </w:p>
          <w:p>
            <w:pPr>
              <w:pStyle w:val="null3"/>
              <w:ind w:firstLine="264"/>
              <w:jc w:val="both"/>
            </w:pPr>
            <w:r>
              <w:rPr>
                <w:rFonts w:ascii="仿宋_GB2312" w:hAnsi="仿宋_GB2312" w:cs="仿宋_GB2312" w:eastAsia="仿宋_GB2312"/>
                <w:sz w:val="20"/>
              </w:rPr>
              <w:t>19、工业机器人技能证书在线培训平台(整个实训室配1套)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1）在线培训平台需要至少包含机器人编程语言入门、机器人编程入门到精通、机器人行业应用、机器人维护与保养、机器人实操与应用技巧、工业视觉编程与调试等课程，总课时不少于150课时；</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2）在线培训平台需要至少包含“岗位分析”、“课程中心”、“学习记录”、“考试评估”等模块；</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3）在线培训平台可以通过PC端或手机APP观看培训视频；</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4）支持不同角色登录，包含管理员、老师、学生等三个登录入口。</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5）管理后台模块功能包含：</w:t>
            </w:r>
          </w:p>
          <w:p>
            <w:pPr>
              <w:pStyle w:val="null3"/>
              <w:ind w:firstLine="264"/>
              <w:jc w:val="both"/>
            </w:pPr>
            <w:r>
              <w:rPr>
                <w:rFonts w:ascii="仿宋_GB2312" w:hAnsi="仿宋_GB2312" w:cs="仿宋_GB2312" w:eastAsia="仿宋_GB2312"/>
                <w:sz w:val="20"/>
              </w:rPr>
              <w:t>1）院系管理: 具有院系列表、新增院系模块，新增院系模块可编辑院系编号和院系名称；</w:t>
            </w:r>
          </w:p>
          <w:p>
            <w:pPr>
              <w:pStyle w:val="null3"/>
              <w:ind w:firstLine="264"/>
              <w:jc w:val="both"/>
            </w:pPr>
            <w:r>
              <w:rPr>
                <w:rFonts w:ascii="仿宋_GB2312" w:hAnsi="仿宋_GB2312" w:cs="仿宋_GB2312" w:eastAsia="仿宋_GB2312"/>
                <w:sz w:val="20"/>
              </w:rPr>
              <w:t>2）课程分配：课程目录功能可体现课程名称、课时总数量、课程类别，具有搜索课程名称功能；</w:t>
            </w:r>
          </w:p>
          <w:p>
            <w:pPr>
              <w:pStyle w:val="null3"/>
              <w:ind w:firstLine="264"/>
              <w:jc w:val="both"/>
            </w:pPr>
            <w:r>
              <w:rPr>
                <w:rFonts w:ascii="仿宋_GB2312" w:hAnsi="仿宋_GB2312" w:cs="仿宋_GB2312" w:eastAsia="仿宋_GB2312"/>
                <w:sz w:val="20"/>
              </w:rPr>
              <w:t>3）老师管理：老师管理具有授权班级、查看分配课程功能，支持编辑新增老师信息，具有可批量导入老师功能；</w:t>
            </w:r>
          </w:p>
          <w:p>
            <w:pPr>
              <w:pStyle w:val="null3"/>
              <w:ind w:firstLine="264"/>
              <w:jc w:val="both"/>
            </w:pPr>
            <w:r>
              <w:rPr>
                <w:rFonts w:ascii="仿宋_GB2312" w:hAnsi="仿宋_GB2312" w:cs="仿宋_GB2312" w:eastAsia="仿宋_GB2312"/>
                <w:sz w:val="20"/>
              </w:rPr>
              <w:t>4）班级管理：可通过筛选所在院系进行快速查找班级。具有新增班级功能，可编辑所属院系、班级编号、班级名称；</w:t>
            </w:r>
          </w:p>
          <w:p>
            <w:pPr>
              <w:pStyle w:val="null3"/>
              <w:ind w:firstLine="264"/>
              <w:jc w:val="both"/>
            </w:pPr>
            <w:r>
              <w:rPr>
                <w:rFonts w:ascii="仿宋_GB2312" w:hAnsi="仿宋_GB2312" w:cs="仿宋_GB2312" w:eastAsia="仿宋_GB2312"/>
                <w:sz w:val="20"/>
              </w:rPr>
              <w:t>5）学生管理：含新增学生、批量删除和批量导入学生等功能，可查看姓名、学号、性别、所在班级等学生信息；</w:t>
            </w:r>
          </w:p>
          <w:p>
            <w:pPr>
              <w:pStyle w:val="null3"/>
              <w:ind w:firstLine="264"/>
              <w:jc w:val="both"/>
            </w:pPr>
            <w:r>
              <w:rPr>
                <w:rFonts w:ascii="仿宋_GB2312" w:hAnsi="仿宋_GB2312" w:cs="仿宋_GB2312" w:eastAsia="仿宋_GB2312"/>
                <w:sz w:val="20"/>
              </w:rPr>
              <w:t>6）数据中心：包含班级数据、课程数据、考试数据、学生数据四大模块；</w:t>
            </w:r>
          </w:p>
          <w:p>
            <w:pPr>
              <w:pStyle w:val="null3"/>
              <w:ind w:firstLine="264"/>
              <w:jc w:val="both"/>
            </w:pPr>
            <w:r>
              <w:rPr>
                <w:rFonts w:ascii="仿宋_GB2312" w:hAnsi="仿宋_GB2312" w:cs="仿宋_GB2312" w:eastAsia="仿宋_GB2312"/>
                <w:sz w:val="20"/>
              </w:rPr>
              <w:t>7）课程分类：含编辑、删减两个操作功能；可看到课程的类别名称、添加时间等信息；</w:t>
            </w:r>
          </w:p>
          <w:p>
            <w:pPr>
              <w:pStyle w:val="null3"/>
              <w:ind w:firstLine="264"/>
              <w:jc w:val="both"/>
            </w:pPr>
            <w:r>
              <w:rPr>
                <w:rFonts w:ascii="仿宋_GB2312" w:hAnsi="仿宋_GB2312" w:cs="仿宋_GB2312" w:eastAsia="仿宋_GB2312"/>
                <w:sz w:val="20"/>
              </w:rPr>
              <w:t>8）考试管理：可以看到考试科目名称、题目数量，可新增考试科目、批量导入题库；</w:t>
            </w:r>
          </w:p>
          <w:p>
            <w:pPr>
              <w:pStyle w:val="null3"/>
              <w:ind w:firstLine="264"/>
              <w:jc w:val="both"/>
            </w:pPr>
            <w:r>
              <w:rPr>
                <w:rFonts w:ascii="仿宋_GB2312" w:hAnsi="仿宋_GB2312" w:cs="仿宋_GB2312" w:eastAsia="仿宋_GB2312"/>
                <w:sz w:val="20"/>
              </w:rPr>
              <w:t>20、机器人离线编程软件</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1）仿真软件系统能支持ABB、KUKA、Universal Robots、Motoman、Denso、Fanuc、Kwasaki等多种机器人。包含加载文件、在线机器人库、添加参考坐标系、添加机器人目标点、移动帧/对象/工具、移动坐标系，对象工具、碰撞检查、碰撞映射设置、快速仿真、Python功能、添加新机器人程序、添加机器人运动等功能项，让学生迅速掌握机器人的基本操作、机器人坐标系转换、机器人运动学、机器人的控制等基本操作知识；</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2）具有离线编程功能，能够直接生成包括但不限于ABB、KUKA，FANUC、安川、史陶比尔、UR等30种以上品牌机器人的代码；</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3）支持关节型机器人、Delta、SCARA、直角坐标等不同构型机器人；</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4）支持多种格式的三维CAD模型，可导入扩展名为step、igs、stl等格式；</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5）具有可以根据机器人D-H参数，创建6轴、7轴串联机器人模型的功能；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6）支持工件校准功能，能够根据真实情况与理论模型的参数误差自动调整轨迹参数；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7）轨迹生成可基于CAD数据，简化轨迹生成过程，提高精度，可利用实体模型、曲面或曲线直接生成运动轨迹；</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8）包含丰富的轨迹调整优化工具包，如碰撞检查、工业机器人可达性、姿态奇异点、轴超限、节拍估算、轨迹自动调整优化等功能；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9）包含丰富的工艺应用工具包，必须包含但不限于打磨、喷涂、铣削、焊接等。可以自由设计定义工具及其坐标信息，实际工件与模型工件的坐标校准确保轨迹精度，码垛工艺包模拟真实物料抓取摆放过程，支持APT Source和NC格式G代码的导入并自动转化为工业机器人运动轨迹等功能；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10）提供工业机器人虚拟教学模块，如虚拟示教器、机器人部件装配、自动生成仿真运动视频。可以生成基于html播放的视频和基于pdf的3维可操作文件；</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11）提供强大的Python API功能支持，集成所有离线编程软件的离线编程功能，并允许开展大量机器人机构的自动化应用。可进行仿真和应用于程序机器人取放物体和应用于复杂的多机器人同步运动等；</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12）支持机器人精度标定功能，可以支持激光跟踪仪标定和立体相机标定；</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13）支持多机器人同步运动仿真，至少能够实现3个机器人的同步运动；</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14）具有机器人外部轴运动，能够实现7、8轴的离线编程功能；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15）具有整个工厂自动化生产线仿真功能，可包含码垛机、3种以上类型机器人、流水线等；</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16）具有ABB、KUKA、FANUC、安川等机器人品牌的虚拟示教器示教功能，能够通过虚拟示教器实现对机器人的手动操作以及程序代码的编辑和运行；</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17）集成无动力关节臂示教功能；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18）支持基于Python、C#等高级语言的API的扩展编程；</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19）具备创建包含重力、弹性碰撞等物理规律的智能制造虚拟仿真环境。可以搭建包含工业机器人、AGV、数控机床、滑轨与变位机、传送带等智能生产线虚拟仿真布局方案；</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20）具有虚拟调试功能。可根据工作任务要求，在软件中构建智能制造虚拟系统，并完成PLC及机器人程序。可根据生产工艺要求，配置虚拟调试参数，在智能制造虚拟系统中调试与验证PLC及机器人程序。可根据数据分析，优化PLC及机器人程序，优化智能制造系统工艺流程；</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21）具有丰富的智能制造仿真应用案例，包括智能切削加工、智能模具加工、智能传感器检测、工业机器人机床上下料等应用。</w:t>
            </w:r>
          </w:p>
          <w:p>
            <w:pPr>
              <w:pStyle w:val="null3"/>
              <w:ind w:firstLine="264"/>
              <w:jc w:val="both"/>
            </w:pPr>
            <w:r>
              <w:rPr>
                <w:rFonts w:ascii="仿宋_GB2312" w:hAnsi="仿宋_GB2312" w:cs="仿宋_GB2312" w:eastAsia="仿宋_GB2312"/>
                <w:sz w:val="20"/>
              </w:rPr>
              <w:t>21、工业机器人与智能制造数字孪生平台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1）提供≥200种的智能制造工作单元和设备资源，支持智能产线中各种主流设备的仿真与虚拟调试，包括PLC、机器人、传感器、变位机、导轨等，可实现规划与设计车间布局，自由调整；</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可以直接从云端设备库中选择机器人、物流等设备模块进行仿真调试，选择过程中支持搜索、筛选和排序，并推荐相似参数的模块设备，组成与实际设备一致的3D数字模型，自定义模块属性，生成与实际设备一致的业务路径；</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3）支持定义自动上料点，通过时间和信号的控制方式模拟物料重复生成和消失的过程；</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4）软件提供了100台以上品牌、多种不同型号的工业机器人进行场景搭建、轨迹规划、运动仿真和程序代码生成等操作；</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公共库中提供有参数化模型，参数化模型可通过“参数修改”来快速实现整体模型的修改；支持的模型包含有“二、三、四轴模组机器人”、“输送线”、“工作台”、“型材框架”、“机器人底座”、“立库货架”等各不少于5种不同类型的参数化模型，其中输送线、工作台、型材框架、机器人底座、立库货架等支持“长、宽、高”参数化修改，模组机器人等支持方向、负载、各轴长度等参数化修改；</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6）具有“设备仿真数据看板”模块，支持组件库须包含有生产节拍、产能统计、传感器状态、机器人各种数据、空间利用率、设备利用率、物流利用率等组件，支持导入所需的组件组合成所需看板；</w:t>
            </w:r>
            <w:r>
              <w:rPr>
                <w:rFonts w:ascii="仿宋_GB2312" w:hAnsi="仿宋_GB2312" w:cs="仿宋_GB2312" w:eastAsia="仿宋_GB2312"/>
                <w:sz w:val="20"/>
                <w:b/>
                <w:shd w:fill="D9D9D9" w:val="clear"/>
              </w:rPr>
              <w:t>（供应商须在现场提供真实软件平台进行演示佐证此条款功能，不能使用</w:t>
            </w:r>
            <w:r>
              <w:rPr>
                <w:rFonts w:ascii="仿宋_GB2312" w:hAnsi="仿宋_GB2312" w:cs="仿宋_GB2312" w:eastAsia="仿宋_GB2312"/>
                <w:sz w:val="20"/>
                <w:b/>
                <w:shd w:fill="D9D9D9" w:val="clear"/>
              </w:rPr>
              <w:t>demo、视频及PPT演示，否则视为此功能演示不满足。）</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7）软件具备AI自动识别机器人型号功能，用户上传机器人模型后，可以根据模型自动匹配推荐后台的机器人模型。系统推荐的机器人模型可以不需要任何配置，直接进行示教和编程；</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8）软件内置行业教学库，含动力锂电池PACK线、伺服电机线组装、泵体装配线、汽车配件焊接工站、发动机去毛刺工作站等不少于20个场景；</w:t>
            </w:r>
            <w:r>
              <w:rPr>
                <w:rFonts w:ascii="仿宋_GB2312" w:hAnsi="仿宋_GB2312" w:cs="仿宋_GB2312" w:eastAsia="仿宋_GB2312"/>
                <w:sz w:val="20"/>
                <w:b/>
                <w:shd w:fill="D9D9D9" w:val="clear"/>
              </w:rPr>
              <w:t>（供应商须在现场提供真实软件平台进行演示佐证此条款功能，不能使用</w:t>
            </w:r>
            <w:r>
              <w:rPr>
                <w:rFonts w:ascii="仿宋_GB2312" w:hAnsi="仿宋_GB2312" w:cs="仿宋_GB2312" w:eastAsia="仿宋_GB2312"/>
                <w:sz w:val="20"/>
                <w:b/>
                <w:shd w:fill="D9D9D9" w:val="clear"/>
              </w:rPr>
              <w:t>demo、视频及PPT演示，否则视为此功能演示不满足。）</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 xml:space="preserve">9）通过仿真机器人可执行代码，模拟机器人在软件环境中的运动状态，系统支持机器人的运动指令(MOVEL\MOVEJ\MOVC)、逻辑指令（SETIO\IF\WHILE）、文本指令、通讯指令等; </w:t>
            </w:r>
            <w:r>
              <w:rPr>
                <w:rFonts w:ascii="仿宋_GB2312" w:hAnsi="仿宋_GB2312" w:cs="仿宋_GB2312" w:eastAsia="仿宋_GB2312"/>
                <w:sz w:val="20"/>
                <w:b/>
                <w:shd w:fill="D9D9D9" w:val="clear"/>
              </w:rPr>
              <w:t>（供应商须在现场提供真实软件平台进行演示佐证此条款功能，不能使用</w:t>
            </w:r>
            <w:r>
              <w:rPr>
                <w:rFonts w:ascii="仿宋_GB2312" w:hAnsi="仿宋_GB2312" w:cs="仿宋_GB2312" w:eastAsia="仿宋_GB2312"/>
                <w:sz w:val="20"/>
                <w:b/>
                <w:shd w:fill="D9D9D9" w:val="clear"/>
              </w:rPr>
              <w:t>demo、视频及PPT演示，否则视为此功能演示不满足。）</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10）支持机器视觉仿真，仿真场景中的虚拟相机与实际相机同步，虚拟工件可自动跟随实际工件变换位置，视觉检测可以指导机器人自动识别虚拟与实体工件位置进行抓取，实现数字孪生，实现对虚拟工件的视觉检测与引导虚拟机器人抓取工件；</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11）支持机器人管线包仿真，可以实现管线包软管仿真；</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12）包含各种执行机构有气动机械手、传送带、电机等。每个机构的动作与真实机构一样且可以随意编程定义动作的执行顺序。每种动作都可以支持手动操作:伸出，缩回，下降，上升，夹紧，松开等。</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13）支持场景设备的自由定义，用户可通过设计的三维模型以及技术参数自由定义机器人、工具、零件、传感器等设备；</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14）支持场景设备的自由定义，可自行创建并保存组件形成组件库，支持包含：stp、step、igs、stl、obj、dxf、brep、iges、xyz、pts等10几种标准 CAD 文件格式的文件导入，以及stl格式的模型导出，用户可自己建立独有的模型库，用户可通过设计的三维模型以及技术参数自由定义机器人、工具、零件、传感器等设备；</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15）可实现KUKA、ABB、FANUC、每种品牌3个以上型号的工业机器人进行模型导入、轨迹规划、运动仿真和控制代码输出，实现离线编程；</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16）具有贴图功能，可通过贴图代替或简化离线编程软件虚拟场景中复杂的模型搭建，最大限度减小模型的大小；可极大加快绘图区的刷新帧速率，使绘图区操作响应更加灵敏；</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17）支持根据生产工艺要求，结合零件点线面特征进行工作路径自动规划，并与其他自动化设备进行仿真验证，自动生成机器人程序，支持ABB、KUKA、Fanuc、安川、史陶比尔等品牌机器人；</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18）支持智能制造数字孪生功能，利用基于事件且由信号驱动的仿真技术实现了生产系统的虚拟调试，虚拟调试可用在完全虚拟环节中进行，也可是实物控制设备和虚拟工作设备互联实现半实物调试；</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19）支持和多种品牌的PLC设备进行信号的联调，包括西门子、三菱、欧姆龙等，可连接真实PLC设备，支持多种品牌网关的连接，支持OPCUA\MODBUS TCP\S7\MC等协议；</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20）可基于CAD数据生成机器人加工轨迹，简化轨迹生成过程，提高精度，可利用实体模型、曲面或曲线直接生成机器人加工轨迹，支持轨迹编辑功能，以图形化方式通过拖动参数曲线，来编辑一条轨迹中指定个数的点，达到让整条轨迹光滑过渡的效果；</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21）支持触发软件中的仿真模块，包含整体场景仿真、轨迹组仿真、单轨迹仿真等；支持与软件进行命令交互，触发软件轨迹生成、编译、后置等命令操作；</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22）对机器人离线编程软件环境中仿真界面的机器人进行轨迹规划，实现离线编程并输出对应品牌的机器人程序；</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23）控制系统能够和多个品牌工业机器人手持示教器通讯，通过更换手持示教器能够对多品牌工业机器人进行现场示教编程训练；</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24）支持智能制造数字孪生功能，利用基于事件且由信号驱动的仿真技术实现了生产系统的虚拟调试，虚拟调试可用在完全虚拟环节中进行，也可是实物控制设备和虚拟工作设备互联实现半实物调试。</w:t>
            </w:r>
          </w:p>
          <w:p>
            <w:pPr>
              <w:pStyle w:val="null3"/>
              <w:ind w:firstLine="264"/>
              <w:jc w:val="both"/>
            </w:pPr>
            <w:r>
              <w:rPr>
                <w:rFonts w:ascii="仿宋_GB2312" w:hAnsi="仿宋_GB2312" w:cs="仿宋_GB2312" w:eastAsia="仿宋_GB2312"/>
                <w:sz w:val="20"/>
              </w:rPr>
              <w:t>22、实体云示教器（整个实训室配置一台用于教师端）</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1）硬件构成：主控板、按键板、图形化彩色≥7寸触摸屏（分辨率800*1280）、内置中间件集合模块、内置网关模块；存储容量≥8G；云示教器具有恢复程序、带时间标记登录、支持远程服务以及紧急停功能;</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2）电源：5V/2A；功耗≤10W；工作温度范围0°C-45°C；</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云示教器可触屏操作、操纵杆操作和按键操作;按键、触摸屏、操纵杆、操作界面与真实示教器相似，具有教学常用的程序运行按键、单步运行按键、停止键等按键功能；云示教器通过无线WiFi与工业机器人专用离线编程仿真软件Robotstudio互通，通过云示教器可进行编程与示教操控Robotstudio环境中虚拟机器人；</w:t>
            </w:r>
            <w:r>
              <w:rPr>
                <w:rFonts w:ascii="仿宋_GB2312" w:hAnsi="仿宋_GB2312" w:cs="仿宋_GB2312" w:eastAsia="仿宋_GB2312"/>
                <w:sz w:val="20"/>
                <w:b/>
                <w:shd w:fill="D9D9D9" w:val="clear"/>
              </w:rPr>
              <w:t>（现场提供实体云示教器设备进行演示佐证）</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云示教器菜单栏具有仿真软件控制功能页面，可通过云示教器直接对Robotstudio软件中的虚拟场景进行视角控制和仿真控制。其中视图控制包括：查看全部、查看中心、放大、缩小、正面、背面、右边、左视图、俯视、底部；仿真控制包含：播放、停止、重置。</w:t>
            </w:r>
            <w:r>
              <w:rPr>
                <w:rFonts w:ascii="仿宋_GB2312" w:hAnsi="仿宋_GB2312" w:cs="仿宋_GB2312" w:eastAsia="仿宋_GB2312"/>
                <w:sz w:val="20"/>
                <w:b/>
                <w:shd w:fill="D9D9D9" w:val="clear"/>
              </w:rPr>
              <w:t>（现场提供实体云示教器设备进行演示佐证）</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5）云示教器菜单栏的手动操作页面，具有“对准”与“转到”功能。“对准”功能可针对虚拟机器人选定工具末端的Z轴与参考坐标系：大地坐标系或基坐标系或工件坐标系的对应轴进行就近对齐；“转到”功能可针对当前选定的坐标系，控制虚拟机器人工具末端快速运动到指定示教点位；</w:t>
            </w:r>
            <w:r>
              <w:rPr>
                <w:rFonts w:ascii="仿宋_GB2312" w:hAnsi="仿宋_GB2312" w:cs="仿宋_GB2312" w:eastAsia="仿宋_GB2312"/>
                <w:sz w:val="20"/>
                <w:b/>
                <w:shd w:fill="D9D9D9" w:val="clear"/>
              </w:rPr>
              <w:t>（现场提供实体云示教器设备进行演示佐证）</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6）编程方法按照ABB示教器的编程方法(在云示教器上创建一个例行程序，包含数个点位，混合不同的速度和与运动模式包含关节、直线、圆弧，并显示不同运动模式下的运动轨迹)；</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7）具有变量显示/隐藏功能，可显示或隐藏所有变量和示教点信息只显示程序；在选定的例行程序下编写程序，其他程序可通过“隐藏声明/显示声明”进行随时隐藏或显示，方便查看；</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 xml:space="preserve">8）云示教器所编制程序可以在专用离线编程仿真软件Robotstudio的虚拟场景中进行验证，导出的程序也可以在真实场景中验证;    </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9）对外接口：无线端口，预留以太网口、USB接口;</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10）通讯模块</w:t>
            </w:r>
          </w:p>
          <w:p>
            <w:pPr>
              <w:pStyle w:val="null3"/>
              <w:ind w:firstLine="264"/>
              <w:jc w:val="both"/>
            </w:pPr>
            <w:r>
              <w:rPr>
                <w:rFonts w:ascii="仿宋_GB2312" w:hAnsi="仿宋_GB2312" w:cs="仿宋_GB2312" w:eastAsia="仿宋_GB2312"/>
                <w:sz w:val="20"/>
              </w:rPr>
              <w:t>1）云示教器与仿真系统：通过WIFI连接，实现对仿真软件的控制、以及仿真软件操作指令采集;</w:t>
            </w:r>
          </w:p>
          <w:p>
            <w:pPr>
              <w:pStyle w:val="null3"/>
              <w:ind w:firstLine="264"/>
              <w:jc w:val="both"/>
            </w:pPr>
            <w:r>
              <w:rPr>
                <w:rFonts w:ascii="仿宋_GB2312" w:hAnsi="仿宋_GB2312" w:cs="仿宋_GB2312" w:eastAsia="仿宋_GB2312"/>
                <w:sz w:val="20"/>
              </w:rPr>
              <w:t>2）云示教器与云平台:基于MQTT协议与云平台保持长连接，进行实时的指令获取、数据上报和后台计算回传等功能。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11）显示模块</w:t>
            </w:r>
          </w:p>
          <w:p>
            <w:pPr>
              <w:pStyle w:val="null3"/>
              <w:ind w:firstLine="264"/>
              <w:jc w:val="both"/>
            </w:pPr>
            <w:r>
              <w:rPr>
                <w:rFonts w:ascii="仿宋_GB2312" w:hAnsi="仿宋_GB2312" w:cs="仿宋_GB2312" w:eastAsia="仿宋_GB2312"/>
                <w:sz w:val="20"/>
              </w:rPr>
              <w:t>1）UI界面：仿造真实示教器的UI，通过触摸屏进行显示以及点击操作;</w:t>
            </w:r>
          </w:p>
          <w:p>
            <w:pPr>
              <w:pStyle w:val="null3"/>
              <w:ind w:firstLine="264"/>
              <w:jc w:val="both"/>
            </w:pPr>
            <w:r>
              <w:rPr>
                <w:rFonts w:ascii="仿宋_GB2312" w:hAnsi="仿宋_GB2312" w:cs="仿宋_GB2312" w:eastAsia="仿宋_GB2312"/>
                <w:sz w:val="20"/>
              </w:rPr>
              <w:t>2）数据处理：触摸屏操作数据进行处理，解析获取控制指令、输入程序内容并转去数据处理。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12）数据处理模块</w:t>
            </w:r>
          </w:p>
          <w:p>
            <w:pPr>
              <w:pStyle w:val="null3"/>
              <w:ind w:firstLine="264"/>
              <w:jc w:val="both"/>
            </w:pPr>
            <w:r>
              <w:rPr>
                <w:rFonts w:ascii="仿宋_GB2312" w:hAnsi="仿宋_GB2312" w:cs="仿宋_GB2312" w:eastAsia="仿宋_GB2312"/>
                <w:sz w:val="20"/>
              </w:rPr>
              <w:t>1）数据输入：输入来自仿真系统、云平台、用户操作;</w:t>
            </w:r>
          </w:p>
          <w:p>
            <w:pPr>
              <w:pStyle w:val="null3"/>
              <w:ind w:firstLine="264"/>
              <w:jc w:val="both"/>
            </w:pPr>
            <w:r>
              <w:rPr>
                <w:rFonts w:ascii="仿宋_GB2312" w:hAnsi="仿宋_GB2312" w:cs="仿宋_GB2312" w:eastAsia="仿宋_GB2312"/>
                <w:sz w:val="20"/>
              </w:rPr>
              <w:t>2）数据解析：对数据预处理后，解析并进行逻辑处理然后转发至数据输出。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13）数据输出：产出数据至相应接口</w:t>
            </w:r>
          </w:p>
          <w:p>
            <w:pPr>
              <w:pStyle w:val="null3"/>
              <w:ind w:firstLine="264"/>
              <w:jc w:val="both"/>
            </w:pPr>
            <w:r>
              <w:rPr>
                <w:rFonts w:ascii="仿宋_GB2312" w:hAnsi="仿宋_GB2312" w:cs="仿宋_GB2312" w:eastAsia="仿宋_GB2312"/>
                <w:sz w:val="20"/>
              </w:rPr>
              <w:t>数据计算模块：程序编译是对提交的程序代码，进行本地计算编译，如果本地不满足条件则提交云平台远程编译、在线和离线回传。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14）可对云示教器进行工具、工件坐标系的设置，并可进行工具坐标系、工件坐标系、大地坐标系、基坐标系间的切换。</w:t>
            </w:r>
          </w:p>
          <w:p>
            <w:pPr>
              <w:pStyle w:val="null3"/>
              <w:jc w:val="both"/>
            </w:pPr>
            <w:r>
              <w:rPr>
                <w:rFonts w:ascii="仿宋_GB2312" w:hAnsi="仿宋_GB2312" w:cs="仿宋_GB2312" w:eastAsia="仿宋_GB2312"/>
                <w:sz w:val="20"/>
              </w:rPr>
              <w:t>23、智能制造数字化仿真实训平台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1）具备智能制造自动化实训案例的“场景描述”、“控制要求”、“IO 地址”、“协议”、“考核实训目标”、“设置”等功能模块；具备添加物料和手动预览的操作，手动预览可控制虚拟场景设备模块运行；每个案例支持考核实训功能，完成考核实训并提交后，可以根据实训考核情况进行评分，并提示细项得分点和失分点；</w:t>
            </w:r>
            <w:r>
              <w:rPr>
                <w:rFonts w:ascii="仿宋_GB2312" w:hAnsi="仿宋_GB2312" w:cs="仿宋_GB2312" w:eastAsia="仿宋_GB2312"/>
                <w:sz w:val="20"/>
                <w:b/>
                <w:shd w:fill="D9D9D9" w:val="clear"/>
              </w:rPr>
              <w:t>（供应商须在现场提供真实软件平台进行演示，不能使用</w:t>
            </w:r>
            <w:r>
              <w:rPr>
                <w:rFonts w:ascii="仿宋_GB2312" w:hAnsi="仿宋_GB2312" w:cs="仿宋_GB2312" w:eastAsia="仿宋_GB2312"/>
                <w:sz w:val="20"/>
                <w:b/>
                <w:shd w:fill="D9D9D9" w:val="clear"/>
              </w:rPr>
              <w:t>demo、视频及PPT演示，否则视为此功能演示不满足。）</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2）支持PLC仿真：可支持包含西门子、三菱等品牌的PLC仿真,可支持“S7协议”、“串口通信”、“Modbus TCP”、“ABB机器人”、“Socket”等不少于5个通信协议模块。并通过PLC的编程软件将真实的自动化控制程序和信号逻辑，驱动虚拟模型进行机电仿真和调试；</w:t>
            </w:r>
            <w:r>
              <w:rPr>
                <w:rFonts w:ascii="仿宋_GB2312" w:hAnsi="仿宋_GB2312" w:cs="仿宋_GB2312" w:eastAsia="仿宋_GB2312"/>
                <w:sz w:val="20"/>
                <w:b/>
                <w:shd w:fill="D9D9D9" w:val="clear"/>
              </w:rPr>
              <w:t>（供应商须在现场提供真实软件平台进行演示，不能使用</w:t>
            </w:r>
            <w:r>
              <w:rPr>
                <w:rFonts w:ascii="仿宋_GB2312" w:hAnsi="仿宋_GB2312" w:cs="仿宋_GB2312" w:eastAsia="仿宋_GB2312"/>
                <w:sz w:val="20"/>
                <w:b/>
                <w:shd w:fill="D9D9D9" w:val="clear"/>
              </w:rPr>
              <w:t>demo、视频及PPT演示，否则视为此功能演示不满足。）</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3）数字孪生虚实调试功能：数字孪生场景搭建完成后，可通过自动化控制器PLC来控制真实设备，平台里面的设备虚拟仿真模型，能够实时同步实际物体设备，并能实时监控同步当前空间位置信息。</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平台包括并支持液体灌装生产控制设备、多种液体自动混合控制设备、汽车入库自动门控制、小车往反控制系统、压力传感器与水设备处理设备、大小球分拣产线、工业娃娃机设备、水塔水位自动控制设备、机电一体化提升机、不良品检测产线、不同高度物料分拣产线、黑白物料分拣设备、小型自动化物料输送设备、三轴机械手模组搬运、双输送带物料转运产线、离散机电行业智能制造综合实训设备、主件供料站、次品分拣站、旋转工作站、方向调整站等不少于20个项目案例模拟，每个案例支持考核实训功能，完成考核实训并提交后，可以根据实训考核情况进行评分，并提示细项得分点和失分点。</w:t>
            </w:r>
          </w:p>
          <w:p>
            <w:pPr>
              <w:pStyle w:val="null3"/>
              <w:jc w:val="both"/>
            </w:pPr>
            <w:r>
              <w:rPr>
                <w:rFonts w:ascii="仿宋_GB2312" w:hAnsi="仿宋_GB2312" w:cs="仿宋_GB2312" w:eastAsia="仿宋_GB2312"/>
                <w:sz w:val="20"/>
              </w:rPr>
              <w:t>24、无油静音气泵</w:t>
            </w:r>
          </w:p>
          <w:p>
            <w:pPr>
              <w:pStyle w:val="null3"/>
              <w:ind w:firstLine="264"/>
              <w:jc w:val="both"/>
            </w:pPr>
            <w:r>
              <w:rPr>
                <w:rFonts w:ascii="仿宋_GB2312" w:hAnsi="仿宋_GB2312" w:cs="仿宋_GB2312" w:eastAsia="仿宋_GB2312"/>
                <w:sz w:val="20"/>
              </w:rPr>
              <w:t>设备配套无油静音气泵，排量大，噪音低。</w:t>
            </w:r>
          </w:p>
          <w:p>
            <w:pPr>
              <w:pStyle w:val="null3"/>
              <w:jc w:val="both"/>
            </w:pPr>
            <w:r>
              <w:rPr>
                <w:rFonts w:ascii="仿宋_GB2312" w:hAnsi="仿宋_GB2312" w:cs="仿宋_GB2312" w:eastAsia="仿宋_GB2312"/>
                <w:sz w:val="20"/>
              </w:rPr>
              <w:t>25、编程工控机1台</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1）须具备良好的抗干扰能力；</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2）工控机性能要求：能够处理复杂的控制任务和数据处理，主频≥2.1GHz，核心数≥16，内存≥32GB，硬盘≥1T，配置≥6GB独立显存；</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3）工控机显示端：尺寸≥27寸，分辨率≥1920*1080；</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4）提供安装和布线服务。</w:t>
            </w:r>
          </w:p>
          <w:p>
            <w:pPr>
              <w:pStyle w:val="null3"/>
              <w:jc w:val="both"/>
            </w:pPr>
            <w:r>
              <w:rPr>
                <w:rFonts w:ascii="仿宋_GB2312" w:hAnsi="仿宋_GB2312" w:cs="仿宋_GB2312" w:eastAsia="仿宋_GB2312"/>
                <w:sz w:val="20"/>
              </w:rPr>
              <w:t>26、教学资源和培训要求：</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1）提供电子教程、PPT课件、教学视频、虚拟教学场景模型，且虚拟教学场景不少于10个，包含工具坐标系的创建、工件坐标系的创建、快换夹具、搬运、码垛、机器人轨迹运行、打磨、焊接、喷涂、工作站系统综合应用、工作站系统仿真与调试教学项目场景，以及多个综合实训工作站虚拟场景；</w:t>
            </w:r>
          </w:p>
          <w:p>
            <w:pPr>
              <w:pStyle w:val="null3"/>
              <w:ind w:firstLine="264"/>
              <w:jc w:val="both"/>
            </w:pPr>
            <w:r>
              <w:rPr>
                <w:rFonts w:ascii="仿宋_GB2312" w:hAnsi="仿宋_GB2312" w:cs="仿宋_GB2312" w:eastAsia="仿宋_GB2312"/>
                <w:sz w:val="20"/>
              </w:rPr>
              <w:t>（</w:t>
            </w:r>
            <w:r>
              <w:rPr>
                <w:rFonts w:ascii="仿宋_GB2312" w:hAnsi="仿宋_GB2312" w:cs="仿宋_GB2312" w:eastAsia="仿宋_GB2312"/>
                <w:sz w:val="20"/>
              </w:rPr>
              <w:t>2）提供不少于10天的工业机器人系统操作员技能竞赛培训。</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智慧实训集控台</w:t>
            </w:r>
          </w:p>
        </w:tc>
        <w:tc>
          <w:tcPr>
            <w:tcW w:type="dxa" w:w="7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1、总体外形规格: ≥1000mm*705mm*1132mm，其中操作台面高度：≥900mm；</w:t>
            </w:r>
          </w:p>
          <w:p>
            <w:pPr>
              <w:pStyle w:val="null3"/>
              <w:jc w:val="both"/>
            </w:pPr>
            <w:r>
              <w:rPr>
                <w:rFonts w:ascii="仿宋_GB2312" w:hAnsi="仿宋_GB2312" w:cs="仿宋_GB2312" w:eastAsia="仿宋_GB2312"/>
                <w:sz w:val="20"/>
              </w:rPr>
              <w:t>2、采用钢木结构，主体采用≥1.0mm冷轧钢材，桌面采用≥25mm厚高密度纤维板材料；</w:t>
            </w:r>
          </w:p>
          <w:p>
            <w:pPr>
              <w:pStyle w:val="null3"/>
              <w:jc w:val="both"/>
            </w:pPr>
            <w:r>
              <w:rPr>
                <w:rFonts w:ascii="仿宋_GB2312" w:hAnsi="仿宋_GB2312" w:cs="仿宋_GB2312" w:eastAsia="仿宋_GB2312"/>
                <w:sz w:val="20"/>
              </w:rPr>
              <w:t>3、结构设计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1）上层：分为显示区域和操作台面两部分，台面边缘处做≥9mm下陷处理；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2）下层：三面拆装式，独立隐藏式走线通道。</w:t>
            </w:r>
          </w:p>
          <w:p>
            <w:pPr>
              <w:pStyle w:val="null3"/>
              <w:jc w:val="both"/>
            </w:pPr>
            <w:r>
              <w:rPr>
                <w:rFonts w:ascii="仿宋_GB2312" w:hAnsi="仿宋_GB2312" w:cs="仿宋_GB2312" w:eastAsia="仿宋_GB2312"/>
                <w:sz w:val="20"/>
              </w:rPr>
              <w:t>4、机柜：安装≥14U落地式机柜，可接入第三方设备，前门后通开；</w:t>
            </w:r>
          </w:p>
          <w:p>
            <w:pPr>
              <w:pStyle w:val="null3"/>
              <w:jc w:val="both"/>
            </w:pPr>
            <w:r>
              <w:rPr>
                <w:rFonts w:ascii="仿宋_GB2312" w:hAnsi="仿宋_GB2312" w:cs="仿宋_GB2312" w:eastAsia="仿宋_GB2312"/>
                <w:sz w:val="20"/>
              </w:rPr>
              <w:t>5、屏幕采用≥21.5寸触摸显示器，支持≥10点触摸，分辨率：≥1920*1080，亮度≥500cd/m²，对比度1500:1；</w:t>
            </w:r>
          </w:p>
          <w:p>
            <w:pPr>
              <w:pStyle w:val="null3"/>
              <w:jc w:val="both"/>
            </w:pPr>
            <w:r>
              <w:rPr>
                <w:rFonts w:ascii="仿宋_GB2312" w:hAnsi="仿宋_GB2312" w:cs="仿宋_GB2312" w:eastAsia="仿宋_GB2312"/>
                <w:sz w:val="20"/>
              </w:rPr>
              <w:t>6、显示器下方无缝嵌入快捷按键，触摸按键功能：大屏开/关、一体电脑、本地电脑、HDMI、本地电脑开/关、任务窗、一键启动、返回桌面、音量加减功能等；</w:t>
            </w:r>
          </w:p>
          <w:p>
            <w:pPr>
              <w:pStyle w:val="null3"/>
              <w:jc w:val="both"/>
            </w:pPr>
            <w:r>
              <w:rPr>
                <w:rFonts w:ascii="仿宋_GB2312" w:hAnsi="仿宋_GB2312" w:cs="仿宋_GB2312" w:eastAsia="仿宋_GB2312"/>
                <w:sz w:val="20"/>
              </w:rPr>
              <w:t>7、前侧立面配置两个抽屉，储物空间≥1U；抽屉采用加厚钢珠静音导轨，材料厚度为≥1.2mm。右侧抽屉采用电动控制模式，中控控制/按键控制电子弹簧锁打开抽屉，会自动弹出约≥20mm；</w:t>
            </w:r>
          </w:p>
          <w:p>
            <w:pPr>
              <w:pStyle w:val="null3"/>
              <w:jc w:val="both"/>
            </w:pPr>
            <w:r>
              <w:rPr>
                <w:rFonts w:ascii="仿宋_GB2312" w:hAnsi="仿宋_GB2312" w:cs="仿宋_GB2312" w:eastAsia="仿宋_GB2312"/>
                <w:sz w:val="20"/>
              </w:rPr>
              <w:t>8、产品使用的冷轧钢架针对抗细菌性能的测试（至少做过大肠杆菌、金黄色葡萄球菌），抗菌率≥90%，检测依据和方法为GB 21551.2-2010；</w:t>
            </w:r>
            <w:r>
              <w:rPr>
                <w:rFonts w:ascii="仿宋_GB2312" w:hAnsi="仿宋_GB2312" w:cs="仿宋_GB2312" w:eastAsia="仿宋_GB2312"/>
                <w:sz w:val="20"/>
                <w:b/>
                <w:shd w:fill="D9D9D9" w:val="clear"/>
              </w:rPr>
              <w:t>（供应商</w:t>
            </w:r>
            <w:r>
              <w:rPr>
                <w:rFonts w:ascii="仿宋_GB2312" w:hAnsi="仿宋_GB2312" w:cs="仿宋_GB2312" w:eastAsia="仿宋_GB2312"/>
                <w:sz w:val="20"/>
                <w:b/>
                <w:shd w:fill="D9D9D9" w:val="clear"/>
              </w:rPr>
              <w:t>须</w:t>
            </w:r>
            <w:r>
              <w:rPr>
                <w:rFonts w:ascii="仿宋_GB2312" w:hAnsi="仿宋_GB2312" w:cs="仿宋_GB2312" w:eastAsia="仿宋_GB2312"/>
                <w:sz w:val="20"/>
                <w:b/>
                <w:shd w:fill="D9D9D9" w:val="clear"/>
              </w:rPr>
              <w:t>提供通过</w:t>
            </w:r>
            <w:r>
              <w:rPr>
                <w:rFonts w:ascii="仿宋_GB2312" w:hAnsi="仿宋_GB2312" w:cs="仿宋_GB2312" w:eastAsia="仿宋_GB2312"/>
                <w:sz w:val="20"/>
                <w:b/>
                <w:shd w:fill="D9D9D9" w:val="clear"/>
              </w:rPr>
              <w:t>CNAS或CMA认证的第三方检测机构出具的检测报告复印件佐证。）</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0"/>
              </w:rPr>
              <w:t>9、右侧底部配有直径≥80mm ABS材料的水杯架，深度≥80mm，呈喇叭状，可旋转角度≥90度，左侧上方配置可回弹不锈钢挂钩≥1个；</w:t>
            </w:r>
          </w:p>
          <w:p>
            <w:pPr>
              <w:pStyle w:val="null3"/>
              <w:jc w:val="both"/>
            </w:pPr>
            <w:r>
              <w:rPr>
                <w:rFonts w:ascii="仿宋_GB2312" w:hAnsi="仿宋_GB2312" w:cs="仿宋_GB2312" w:eastAsia="仿宋_GB2312"/>
                <w:sz w:val="20"/>
              </w:rPr>
              <w:t>10、产品使用的导轨符合GB/T 10125-2021《人造气氛腐蚀试验盐雾试验》、GB/T 6461-2002《金属基体上金属和其他无机覆盖层经腐蚀试验后的试样和试件的评级》检验要求；</w:t>
            </w:r>
            <w:r>
              <w:rPr>
                <w:rFonts w:ascii="仿宋_GB2312" w:hAnsi="仿宋_GB2312" w:cs="仿宋_GB2312" w:eastAsia="仿宋_GB2312"/>
                <w:sz w:val="20"/>
                <w:b/>
                <w:shd w:fill="D9D9D9" w:val="clear"/>
              </w:rPr>
              <w:t>（供应商</w:t>
            </w:r>
            <w:r>
              <w:rPr>
                <w:rFonts w:ascii="仿宋_GB2312" w:hAnsi="仿宋_GB2312" w:cs="仿宋_GB2312" w:eastAsia="仿宋_GB2312"/>
                <w:sz w:val="20"/>
                <w:b/>
                <w:shd w:fill="D9D9D9" w:val="clear"/>
              </w:rPr>
              <w:t>须</w:t>
            </w:r>
            <w:r>
              <w:rPr>
                <w:rFonts w:ascii="仿宋_GB2312" w:hAnsi="仿宋_GB2312" w:cs="仿宋_GB2312" w:eastAsia="仿宋_GB2312"/>
                <w:sz w:val="20"/>
                <w:b/>
                <w:shd w:fill="D9D9D9" w:val="clear"/>
              </w:rPr>
              <w:t>提供通过</w:t>
            </w:r>
            <w:r>
              <w:rPr>
                <w:rFonts w:ascii="仿宋_GB2312" w:hAnsi="仿宋_GB2312" w:cs="仿宋_GB2312" w:eastAsia="仿宋_GB2312"/>
                <w:sz w:val="20"/>
                <w:b/>
                <w:shd w:fill="D9D9D9" w:val="clear"/>
              </w:rPr>
              <w:t>CNAS或CMA认证的第三方检测机构出具的检测报告复印件佐证。）</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0"/>
              </w:rPr>
              <w:t>11、讲桌上层后方维修口采用可滑动抽拉板；</w:t>
            </w:r>
          </w:p>
          <w:p>
            <w:pPr>
              <w:pStyle w:val="null3"/>
              <w:jc w:val="both"/>
            </w:pPr>
            <w:r>
              <w:rPr>
                <w:rFonts w:ascii="仿宋_GB2312" w:hAnsi="仿宋_GB2312" w:cs="仿宋_GB2312" w:eastAsia="仿宋_GB2312"/>
                <w:sz w:val="20"/>
              </w:rPr>
              <w:t>12、显示器右侧斜面配置置物空间。</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工学一体化工作台</w:t>
            </w:r>
          </w:p>
        </w:tc>
        <w:tc>
          <w:tcPr>
            <w:tcW w:type="dxa" w:w="7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1）台面：桌面采用厚度≥25mm的环保等级E1高密度板，桌面设计有笔槽位，桌面板所有棱边都采用弧形设计；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2）台架：≥1.5mm厚冷轧钢立柱，≥1.2mm冷轧钢横梁，书网采用≥0.8mm冷轧钢架，表面经过防腐氧化处理和纯环氧树脂塑粉高温固化处理；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3）挡板：挡板E1级高密度板采用≥15mm；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4）脚轮：可调节高低，带刹车；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5）折叠：整个桌子可≥90度折叠，能够快速侧翻桌面，可快速组合；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6）平衡码：可固定拼接、整体移动,可固定桌面平整；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7）采用压铸锌合金制造，表面采用防腐的镀镍处理，配置旋转开关；</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8）台架配置旋转折叠装置，脚轮采用≥65mm的PU万向脚轮带刹车；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9）台面尺寸：≥750mm*550mm*300mm，桌子高度≥750mm；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10）尺寸及偏差、产品形状和位置公差、产品外观性能要求、产品表面涂饰层/覆面材料理化性能、力学性能6种部分的检查，均需符合GB/T 3325-2024《金属家具通用技术条件》的检验依据的要求；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11）座凳：高≥750mm，坐垫尺寸≥360mm*360mm。</w:t>
            </w:r>
          </w:p>
        </w:tc>
      </w:tr>
    </w:tbl>
    <w:p>
      <w:pPr>
        <w:pStyle w:val="null3"/>
        <w:jc w:val="both"/>
      </w:pPr>
      <w:r>
        <w:rPr>
          <w:rFonts w:ascii="仿宋_GB2312" w:hAnsi="仿宋_GB2312" w:cs="仿宋_GB2312" w:eastAsia="仿宋_GB2312"/>
          <w:sz w:val="20"/>
          <w:b/>
          <w:shd w:fill="D9D9D9" w:val="clear"/>
        </w:rPr>
        <w:t>供应商</w:t>
      </w:r>
      <w:r>
        <w:rPr>
          <w:rFonts w:ascii="仿宋_GB2312" w:hAnsi="仿宋_GB2312" w:cs="仿宋_GB2312" w:eastAsia="仿宋_GB2312"/>
          <w:sz w:val="20"/>
          <w:b/>
          <w:shd w:fill="D9D9D9" w:val="clear"/>
        </w:rPr>
        <w:t>须承诺</w:t>
      </w:r>
      <w:r>
        <w:rPr>
          <w:rFonts w:ascii="仿宋_GB2312" w:hAnsi="仿宋_GB2312" w:cs="仿宋_GB2312" w:eastAsia="仿宋_GB2312"/>
          <w:sz w:val="20"/>
          <w:b/>
          <w:shd w:fill="D9D9D9" w:val="clear"/>
        </w:rPr>
        <w:t>配合采购人</w:t>
      </w:r>
      <w:r>
        <w:rPr>
          <w:rFonts w:ascii="仿宋_GB2312" w:hAnsi="仿宋_GB2312" w:cs="仿宋_GB2312" w:eastAsia="仿宋_GB2312"/>
          <w:sz w:val="20"/>
          <w:b/>
          <w:shd w:fill="D9D9D9" w:val="clear"/>
        </w:rPr>
        <w:t>至</w:t>
      </w:r>
      <w:r>
        <w:rPr>
          <w:rFonts w:ascii="仿宋_GB2312" w:hAnsi="仿宋_GB2312" w:cs="仿宋_GB2312" w:eastAsia="仿宋_GB2312"/>
          <w:sz w:val="20"/>
          <w:b/>
          <w:shd w:fill="D9D9D9" w:val="clear"/>
        </w:rPr>
        <w:t>2025年12月31日前</w:t>
      </w:r>
      <w:r>
        <w:rPr>
          <w:rFonts w:ascii="仿宋_GB2312" w:hAnsi="仿宋_GB2312" w:cs="仿宋_GB2312" w:eastAsia="仿宋_GB2312"/>
          <w:sz w:val="20"/>
          <w:b/>
          <w:shd w:fill="D9D9D9" w:val="clear"/>
        </w:rPr>
        <w:t>开展线下现场相关专业</w:t>
      </w:r>
      <w:r>
        <w:rPr>
          <w:rFonts w:ascii="仿宋_GB2312" w:hAnsi="仿宋_GB2312" w:cs="仿宋_GB2312" w:eastAsia="仿宋_GB2312"/>
          <w:sz w:val="20"/>
          <w:b/>
          <w:shd w:fill="D9D9D9" w:val="clear"/>
        </w:rPr>
        <w:t>(高级工)培训，人数不少于170人，课时数:40节/人次。</w:t>
      </w:r>
      <w:r>
        <w:rPr>
          <w:rFonts w:ascii="仿宋_GB2312" w:hAnsi="仿宋_GB2312" w:cs="仿宋_GB2312" w:eastAsia="仿宋_GB2312"/>
          <w:sz w:val="20"/>
          <w:b/>
          <w:shd w:fill="D9D9D9" w:val="clear"/>
        </w:rPr>
        <w:t>如无法完成，没收</w:t>
      </w:r>
      <w:r>
        <w:rPr>
          <w:rFonts w:ascii="仿宋_GB2312" w:hAnsi="仿宋_GB2312" w:cs="仿宋_GB2312" w:eastAsia="仿宋_GB2312"/>
          <w:sz w:val="20"/>
          <w:b/>
          <w:shd w:fill="D9D9D9" w:val="clear"/>
        </w:rPr>
        <w:t>本</w:t>
      </w:r>
      <w:r>
        <w:rPr>
          <w:rFonts w:ascii="仿宋_GB2312" w:hAnsi="仿宋_GB2312" w:cs="仿宋_GB2312" w:eastAsia="仿宋_GB2312"/>
          <w:sz w:val="20"/>
          <w:b/>
          <w:shd w:fill="D9D9D9" w:val="clear"/>
        </w:rPr>
        <w:t>项目履约保证金</w:t>
      </w:r>
      <w:r>
        <w:rPr>
          <w:rFonts w:ascii="仿宋_GB2312" w:hAnsi="仿宋_GB2312" w:cs="仿宋_GB2312" w:eastAsia="仿宋_GB2312"/>
          <w:sz w:val="20"/>
          <w:b/>
          <w:shd w:fill="D9D9D9" w:val="clear"/>
        </w:rPr>
        <w:t>。</w:t>
      </w:r>
      <w:r>
        <w:rPr>
          <w:rFonts w:ascii="仿宋_GB2312" w:hAnsi="仿宋_GB2312" w:cs="仿宋_GB2312" w:eastAsia="仿宋_GB2312"/>
          <w:sz w:val="20"/>
          <w:b/>
          <w:shd w:fill="D9D9D9" w:val="clear"/>
        </w:rPr>
        <w:t>供应商须提供承诺函</w:t>
      </w:r>
      <w:r>
        <w:rPr>
          <w:rFonts w:ascii="仿宋_GB2312" w:hAnsi="仿宋_GB2312" w:cs="仿宋_GB2312" w:eastAsia="仿宋_GB2312"/>
          <w:sz w:val="20"/>
          <w:b/>
          <w:shd w:fill="D9D9D9" w:val="clear"/>
        </w:rPr>
        <w:t>，</w:t>
      </w:r>
      <w:r>
        <w:rPr>
          <w:rFonts w:ascii="仿宋_GB2312" w:hAnsi="仿宋_GB2312" w:cs="仿宋_GB2312" w:eastAsia="仿宋_GB2312"/>
          <w:sz w:val="20"/>
          <w:b/>
          <w:shd w:fill="D9D9D9" w:val="clear"/>
        </w:rPr>
        <w:t>否则响应无效。</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合同签订后60个日历日内交货并安装完毕。</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福州市闽侯县上街镇溪源宫路99号。</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安装、调试完毕并验收合格后交付使用。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1、期次1，说明：根据谈判文件、合同约定要求进行验收，同时还须符合国家及行业有关规范的标准。</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1、货到采购人指定地点，且经采购人验收合格后，以银行转账方式付清全款。成交人向采购人出具的货物增值税专用发票（100%全额发票），达到付款条件起10日内，支付合同总金额的100.00%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成交人在签订采购合同前，使用企业基本账户以电汇或银行转账形式汇到采购人指定的履约保证金账户提交履约保证金或提供履约保函；退还时间：项目验收合格并完成培训要求，且成交人无违约前提下，成交人向采购人提出书面履约保证金退还申请，采购人收到申请之日起20日内向成交人一次性无息退还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b/>
        </w:rPr>
        <w:t>8、供货要求：</w:t>
      </w:r>
    </w:p>
    <w:p>
      <w:pPr>
        <w:pStyle w:val="null3"/>
        <w:ind w:firstLine="480"/>
        <w:jc w:val="left"/>
      </w:pPr>
      <w:r>
        <w:rPr>
          <w:rFonts w:ascii="仿宋_GB2312" w:hAnsi="仿宋_GB2312" w:cs="仿宋_GB2312" w:eastAsia="仿宋_GB2312"/>
        </w:rPr>
        <w:t>8.1、成交人提供的产品必须是采购文件和响应文件中约定的产品，其技术指标、型号须符合相关要求。供货时，成交人须向采购人提供产品说明书、保修卡、质量保证书、软件使用授权书等相关资料和原配的附件。制造编号与包装箱编号应一致。</w:t>
      </w:r>
    </w:p>
    <w:p>
      <w:pPr>
        <w:pStyle w:val="null3"/>
        <w:ind w:firstLine="480"/>
        <w:jc w:val="left"/>
      </w:pPr>
      <w:r>
        <w:rPr>
          <w:rFonts w:ascii="仿宋_GB2312" w:hAnsi="仿宋_GB2312" w:cs="仿宋_GB2312" w:eastAsia="仿宋_GB2312"/>
        </w:rPr>
        <w:t>8.2、成交人提供的采购标的应符合国家知识产权法律、法规的规定且非假冒伪劣品；成交人还应保证采购人不受到第三方关于侵犯知识产权及专利权、商标权或工业设计权等知识产权方面的指控，任何第三方如果提出此方面指控均与采购人无关，成交人应与第三方交涉，并承担可能发生的一切法律责任、费用和后果；若采购人因此而遭致损失，则成交人应赔偿该损失。</w:t>
      </w:r>
    </w:p>
    <w:p>
      <w:pPr>
        <w:pStyle w:val="null3"/>
        <w:ind w:firstLine="480"/>
        <w:jc w:val="left"/>
      </w:pPr>
      <w:r>
        <w:rPr>
          <w:rFonts w:ascii="仿宋_GB2312" w:hAnsi="仿宋_GB2312" w:cs="仿宋_GB2312" w:eastAsia="仿宋_GB2312"/>
        </w:rPr>
        <w:t>若成交人提供的采购标的不符合国家知识产权法律、法规的规定或被有关主管机关认定为假冒伪劣品，则成交人中标或成交资格将被取消；采购人还将按照有关法律、法规和规章的规定进行处理。</w:t>
      </w:r>
    </w:p>
    <w:p>
      <w:pPr>
        <w:pStyle w:val="null3"/>
        <w:ind w:firstLine="480"/>
        <w:jc w:val="both"/>
      </w:pPr>
      <w:r>
        <w:rPr>
          <w:rFonts w:ascii="仿宋_GB2312" w:hAnsi="仿宋_GB2312" w:cs="仿宋_GB2312" w:eastAsia="仿宋_GB2312"/>
        </w:rPr>
        <w:t>8.3、货物包装方式</w:t>
      </w:r>
    </w:p>
    <w:p>
      <w:pPr>
        <w:pStyle w:val="null3"/>
        <w:ind w:firstLine="480"/>
        <w:jc w:val="both"/>
      </w:pPr>
      <w:r>
        <w:rPr>
          <w:rFonts w:ascii="仿宋_GB2312" w:hAnsi="仿宋_GB2312" w:cs="仿宋_GB2312" w:eastAsia="仿宋_GB2312"/>
        </w:rPr>
        <w:t>8.3.1包装：货物交货时应按国家有关标准要求进行包装。</w:t>
      </w:r>
    </w:p>
    <w:p>
      <w:pPr>
        <w:pStyle w:val="null3"/>
        <w:ind w:firstLine="480"/>
        <w:jc w:val="both"/>
      </w:pPr>
      <w:r>
        <w:rPr>
          <w:rFonts w:ascii="仿宋_GB2312" w:hAnsi="仿宋_GB2312" w:cs="仿宋_GB2312" w:eastAsia="仿宋_GB2312"/>
        </w:rPr>
        <w:t>8.3.2方式：包装必须与运输方式相适应，包装方式的确定及包装费用均由成交人负责；由于不适当的包装而造成货物在运输过程中有任何损坏由成交人负责。（注：包装应足以承受整个过程中的运输、转运、装卸、储存等，充分考虑到运输途中的各种情况(如暴露于恶劣气候等)和项目所在地的气候特点，以及露天存放的需要。</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b/>
        </w:rPr>
        <w:t>9、质量标准及要求</w:t>
      </w:r>
    </w:p>
    <w:p>
      <w:pPr>
        <w:pStyle w:val="null3"/>
        <w:ind w:firstLine="480"/>
        <w:jc w:val="left"/>
      </w:pPr>
      <w:r>
        <w:rPr>
          <w:rFonts w:ascii="仿宋_GB2312" w:hAnsi="仿宋_GB2312" w:cs="仿宋_GB2312" w:eastAsia="仿宋_GB2312"/>
        </w:rPr>
        <w:t>9.1、质量标准及要求</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成交人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2）其他质量要求</w:t>
      </w:r>
    </w:p>
    <w:p>
      <w:pPr>
        <w:pStyle w:val="null3"/>
        <w:ind w:firstLine="480"/>
        <w:jc w:val="left"/>
      </w:pPr>
      <w:r>
        <w:rPr>
          <w:rFonts w:ascii="仿宋_GB2312" w:hAnsi="仿宋_GB2312" w:cs="仿宋_GB2312" w:eastAsia="仿宋_GB2312"/>
        </w:rPr>
        <w:t>9.2、质量保证范围、质量保证期及售后服务</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1）质量保证范围：保证提供的所有产品为原厂、原包装，并在各个方面符合本谈判文件技术要求规定的质量、规格和性能要求。保证货物经过正确安装、合理操作和维护保养，在货物寿命期内运转良好。</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b/>
        </w:rPr>
        <w:t>成交人所供应的货物质量保修期自验收合格之日起</w:t>
      </w:r>
      <w:r>
        <w:rPr>
          <w:rFonts w:ascii="仿宋_GB2312" w:hAnsi="仿宋_GB2312" w:cs="仿宋_GB2312" w:eastAsia="仿宋_GB2312"/>
          <w:b/>
        </w:rPr>
        <w:t>36</w:t>
      </w:r>
      <w:r>
        <w:rPr>
          <w:rFonts w:ascii="仿宋_GB2312" w:hAnsi="仿宋_GB2312" w:cs="仿宋_GB2312" w:eastAsia="仿宋_GB2312"/>
          <w:b/>
        </w:rPr>
        <w:t>个月。</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3）售后服务要求：质量保证期内,免费维护和更换所供货物及零配件（人为损坏除外），需及时修补或更换，由成交人承担因此而产生的一切费用，质量保证期相应顺延。如停用时间累计超过60天，质量保证期重新计算。质量保证期满后，应提供终身维修保养及更换零配件等相关服务，可收取一定成本费用。售后服务应即时响应（包括电话响应），4小时内到达现场，24小时内解决，48小时内处理完毕。若在48小时内仍未能有效解决，成交人须免费提供同档次的货物予采购人临时使用。</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shd w:fill="FFFFFF" w:val="clear"/>
        </w:rPr>
        <w:t>10、技术培训</w:t>
      </w:r>
    </w:p>
    <w:p>
      <w:pPr>
        <w:pStyle w:val="null3"/>
        <w:ind w:firstLine="480"/>
        <w:jc w:val="left"/>
      </w:pPr>
      <w:r>
        <w:rPr>
          <w:rFonts w:ascii="仿宋_GB2312" w:hAnsi="仿宋_GB2312" w:cs="仿宋_GB2312" w:eastAsia="仿宋_GB2312"/>
          <w:shd w:fill="FFFFFF" w:val="clear"/>
        </w:rPr>
        <w:t>10.1、设备安装调试验收结束后，由专业技术工程师进行现场技术培训，熟悉设备结构，操作及简单的日常维护。成交供应商须提供不少于10天的培训安排，培训所发生的一切费用均由成交供应商承担(包含在投标报价内)。</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b/>
        </w:rPr>
        <w:t>1</w:t>
      </w:r>
      <w:r>
        <w:rPr>
          <w:rFonts w:ascii="仿宋_GB2312" w:hAnsi="仿宋_GB2312" w:cs="仿宋_GB2312" w:eastAsia="仿宋_GB2312"/>
          <w:b/>
        </w:rPr>
        <w:t>1</w:t>
      </w:r>
      <w:r>
        <w:rPr>
          <w:rFonts w:ascii="仿宋_GB2312" w:hAnsi="仿宋_GB2312" w:cs="仿宋_GB2312" w:eastAsia="仿宋_GB2312"/>
          <w:b/>
        </w:rPr>
        <w:t>、验收</w:t>
      </w:r>
    </w:p>
    <w:p>
      <w:pPr>
        <w:pStyle w:val="null3"/>
        <w:ind w:firstLine="480"/>
        <w:jc w:val="left"/>
      </w:pPr>
      <w:r>
        <w:rPr>
          <w:rFonts w:ascii="仿宋_GB2312" w:hAnsi="仿宋_GB2312" w:cs="仿宋_GB2312" w:eastAsia="仿宋_GB2312"/>
        </w:rPr>
        <w:t>11.</w:t>
      </w:r>
      <w:r>
        <w:rPr>
          <w:rFonts w:ascii="仿宋_GB2312" w:hAnsi="仿宋_GB2312" w:cs="仿宋_GB2312" w:eastAsia="仿宋_GB2312"/>
        </w:rPr>
        <w:t>1、验收应按照谈判文件、成交人响应文件的规定或约定进行，具体如下：</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1）检验依据</w:t>
      </w:r>
    </w:p>
    <w:p>
      <w:pPr>
        <w:pStyle w:val="null3"/>
        <w:ind w:firstLine="480"/>
        <w:jc w:val="left"/>
      </w:pPr>
      <w:r>
        <w:rPr>
          <w:rFonts w:ascii="仿宋_GB2312" w:hAnsi="仿宋_GB2312" w:cs="仿宋_GB2312" w:eastAsia="仿宋_GB2312"/>
        </w:rPr>
        <w:t>货物的验收标准、制造标准、安装标准及技术规范等有关资料，应符合货物制造厂商的产品验收标准、相应的中华人民共和国国家标准及货物出厂标准，以及本项目谈判文件要求的技术要求。</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2）验收流程</w:t>
      </w:r>
    </w:p>
    <w:p>
      <w:pPr>
        <w:pStyle w:val="null3"/>
        <w:ind w:firstLine="480"/>
        <w:jc w:val="left"/>
      </w:pPr>
      <w:r>
        <w:rPr>
          <w:rFonts w:ascii="仿宋_GB2312" w:hAnsi="仿宋_GB2312" w:cs="仿宋_GB2312" w:eastAsia="仿宋_GB2312"/>
        </w:rPr>
        <w:t>①到货检验：货物送抵采购人指定地点后，经成交人申请，采购人按合同所约定的货物清单进行开箱检验，对货物的品牌、外观、规格、数量、配件进行清点和检验。成交人应负责在项目验收时将全部有关技术文件、资料(包括但不限于设备配置文档等)、及安装、测试报告等文档汇集成册交付项目单位。</w:t>
      </w:r>
    </w:p>
    <w:p>
      <w:pPr>
        <w:pStyle w:val="null3"/>
        <w:ind w:firstLine="480"/>
        <w:jc w:val="left"/>
      </w:pPr>
      <w:r>
        <w:rPr>
          <w:rFonts w:ascii="仿宋_GB2312" w:hAnsi="仿宋_GB2312" w:cs="仿宋_GB2312" w:eastAsia="仿宋_GB2312"/>
        </w:rPr>
        <w:t>②安装调试验收：货物安装调试完毕且试运行正常后，经成交人申请，采购人按照学校验收相关规定组织验收，采购人须按合同所约定的货物清单及要求对货物的品牌、外观、规格、数量、配件及安装调试后的使用性能、运行状况及其他进行验收，成交人必须在验收现场提供必要的技术支持。</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3）关于验收的其他约定</w:t>
      </w:r>
    </w:p>
    <w:p>
      <w:pPr>
        <w:pStyle w:val="null3"/>
        <w:ind w:firstLine="480"/>
        <w:jc w:val="left"/>
      </w:pPr>
      <w:r>
        <w:rPr>
          <w:rFonts w:ascii="仿宋_GB2312" w:hAnsi="仿宋_GB2312" w:cs="仿宋_GB2312" w:eastAsia="仿宋_GB2312"/>
        </w:rPr>
        <w:t>①在验收过程中，采购人可以根据需要邀请第三方专业机构及专家参与验收，相关验收意见作为验收的参考资料。</w:t>
      </w:r>
    </w:p>
    <w:p>
      <w:pPr>
        <w:pStyle w:val="null3"/>
        <w:ind w:firstLine="480"/>
        <w:jc w:val="left"/>
      </w:pPr>
      <w:r>
        <w:rPr>
          <w:rFonts w:ascii="仿宋_GB2312" w:hAnsi="仿宋_GB2312" w:cs="仿宋_GB2312" w:eastAsia="仿宋_GB2312"/>
        </w:rPr>
        <w:t>②因验收所产生的一切费用由成交人承担，包括但不限于因聘请第三方专业机构及专家而产生的劳务费、住宿费等。</w:t>
      </w:r>
    </w:p>
    <w:p>
      <w:pPr>
        <w:pStyle w:val="null3"/>
        <w:ind w:firstLine="480"/>
        <w:jc w:val="left"/>
      </w:pPr>
      <w:r>
        <w:rPr>
          <w:rFonts w:ascii="仿宋_GB2312" w:hAnsi="仿宋_GB2312" w:cs="仿宋_GB2312" w:eastAsia="仿宋_GB2312"/>
        </w:rPr>
        <w:t>③验收结果经成交人和采购人双方签字并盖章确认后生效；</w:t>
      </w:r>
    </w:p>
    <w:p>
      <w:pPr>
        <w:pStyle w:val="null3"/>
        <w:ind w:firstLine="480"/>
        <w:jc w:val="left"/>
      </w:pPr>
      <w:r>
        <w:rPr>
          <w:rFonts w:ascii="仿宋_GB2312" w:hAnsi="仿宋_GB2312" w:cs="仿宋_GB2312" w:eastAsia="仿宋_GB2312"/>
        </w:rPr>
        <w:t>④货物虽经验收合格，但在成交人承诺的质量保证期内，采购人发现货物存在缺陷，包括潜在的缺陷或使用不合适的材料，成交人应无条件更换，并无条件重新检测、调试直至验收合格交付使用。采购人有权凭有关证明文件向成交人提出索赔。</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b/>
        </w:rPr>
        <w:t>1</w:t>
      </w:r>
      <w:r>
        <w:rPr>
          <w:rFonts w:ascii="仿宋_GB2312" w:hAnsi="仿宋_GB2312" w:cs="仿宋_GB2312" w:eastAsia="仿宋_GB2312"/>
          <w:b/>
        </w:rPr>
        <w:t>2</w:t>
      </w:r>
      <w:r>
        <w:rPr>
          <w:rFonts w:ascii="仿宋_GB2312" w:hAnsi="仿宋_GB2312" w:cs="仿宋_GB2312" w:eastAsia="仿宋_GB2312"/>
          <w:b/>
        </w:rPr>
        <w:t>、违约责任</w:t>
      </w:r>
    </w:p>
    <w:p>
      <w:pPr>
        <w:pStyle w:val="null3"/>
        <w:ind w:firstLine="480"/>
        <w:jc w:val="both"/>
      </w:pPr>
      <w:r>
        <w:rPr>
          <w:rFonts w:ascii="仿宋_GB2312" w:hAnsi="仿宋_GB2312" w:cs="仿宋_GB2312" w:eastAsia="仿宋_GB2312"/>
        </w:rPr>
        <w:t>12.</w:t>
      </w:r>
      <w:r>
        <w:rPr>
          <w:rFonts w:ascii="仿宋_GB2312" w:hAnsi="仿宋_GB2312" w:cs="仿宋_GB2312" w:eastAsia="仿宋_GB2312"/>
        </w:rPr>
        <w:t>1、若成交人未按照合同约定提供货物，采购人有权拒收货物，已经接收的，成交人应自接到采购人通知之日起【10】日内予以退货或换货，由此产生的一切费用由成交人承担；退换货期间视为逾期交付。</w:t>
      </w:r>
    </w:p>
    <w:p>
      <w:pPr>
        <w:pStyle w:val="null3"/>
        <w:ind w:firstLine="480"/>
        <w:jc w:val="both"/>
      </w:pPr>
      <w:r>
        <w:rPr>
          <w:rFonts w:ascii="仿宋_GB2312" w:hAnsi="仿宋_GB2312" w:cs="仿宋_GB2312" w:eastAsia="仿宋_GB2312"/>
        </w:rPr>
        <w:t>12.</w:t>
      </w:r>
      <w:r>
        <w:rPr>
          <w:rFonts w:ascii="仿宋_GB2312" w:hAnsi="仿宋_GB2312" w:cs="仿宋_GB2312" w:eastAsia="仿宋_GB2312"/>
        </w:rPr>
        <w:t>2、成交人不能按时交付货物的，每逾期1日，应按合同总金额的3‰的标准向采购人支付日违约金，逾期超过15日的，采购人有权单方解除合同，要求成交人恢复原状或者采取其他补救措施，并要求成交人按照合同总金额的30%支付违约金，违约金不足以弥补采购人损失的，成交人应予以补足。</w:t>
      </w:r>
    </w:p>
    <w:p>
      <w:pPr>
        <w:pStyle w:val="null3"/>
        <w:ind w:firstLine="480"/>
        <w:jc w:val="left"/>
      </w:pPr>
      <w:r>
        <w:rPr>
          <w:rFonts w:ascii="仿宋_GB2312" w:hAnsi="仿宋_GB2312" w:cs="仿宋_GB2312" w:eastAsia="仿宋_GB2312"/>
        </w:rPr>
        <w:t>12.</w:t>
      </w:r>
      <w:r>
        <w:rPr>
          <w:rFonts w:ascii="仿宋_GB2312" w:hAnsi="仿宋_GB2312" w:cs="仿宋_GB2312" w:eastAsia="仿宋_GB2312"/>
        </w:rPr>
        <w:t>3、成交人未经采购人同意单方面终止合同的，成交人除了应向采购人赔偿因合同终止导致的损失外，还应按照本合同总金额的30%向采购人支付违约金。</w:t>
      </w:r>
    </w:p>
    <w:p>
      <w:pPr>
        <w:pStyle w:val="null3"/>
        <w:ind w:firstLine="480"/>
        <w:jc w:val="both"/>
      </w:pPr>
      <w:r>
        <w:rPr>
          <w:rFonts w:ascii="仿宋_GB2312" w:hAnsi="仿宋_GB2312" w:cs="仿宋_GB2312" w:eastAsia="仿宋_GB2312"/>
        </w:rPr>
        <w:t>12.</w:t>
      </w:r>
      <w:r>
        <w:rPr>
          <w:rFonts w:ascii="仿宋_GB2312" w:hAnsi="仿宋_GB2312" w:cs="仿宋_GB2312" w:eastAsia="仿宋_GB2312"/>
        </w:rPr>
        <w:t>4、成交人不按合同约定履约的，采购人可以解除采购合同。同时，成交人还应按照本合同总金额的30%向采购人支付违约金。</w:t>
      </w:r>
    </w:p>
    <w:p>
      <w:pPr>
        <w:pStyle w:val="null3"/>
        <w:ind w:firstLine="480"/>
        <w:jc w:val="both"/>
      </w:pPr>
      <w:r>
        <w:rPr>
          <w:rFonts w:ascii="仿宋_GB2312" w:hAnsi="仿宋_GB2312" w:cs="仿宋_GB2312" w:eastAsia="仿宋_GB2312"/>
        </w:rPr>
        <w:t>12.</w:t>
      </w:r>
      <w:r>
        <w:rPr>
          <w:rFonts w:ascii="仿宋_GB2312" w:hAnsi="仿宋_GB2312" w:cs="仿宋_GB2312" w:eastAsia="仿宋_GB2312"/>
        </w:rPr>
        <w:t>5、本合同项下采购人的损失范围包括但不限于直接损失、可预期利益、罚款、相关赔偿或补偿等。因成交人违约对采购人造成损失的赔偿金及合同约定的违约金均可由采购人从未支付的合同款中扣除。</w:t>
      </w:r>
    </w:p>
    <w:p>
      <w:pPr>
        <w:pStyle w:val="null3"/>
        <w:spacing w:before="105" w:after="105"/>
        <w:ind w:firstLine="420"/>
        <w:jc w:val="left"/>
      </w:pPr>
      <w:r>
        <w:rPr>
          <w:rFonts w:ascii="仿宋_GB2312" w:hAnsi="仿宋_GB2312" w:cs="仿宋_GB2312" w:eastAsia="仿宋_GB2312"/>
        </w:rPr>
        <w:t>12.</w:t>
      </w:r>
      <w:r>
        <w:rPr>
          <w:rFonts w:ascii="仿宋_GB2312" w:hAnsi="仿宋_GB2312" w:cs="仿宋_GB2312" w:eastAsia="仿宋_GB2312"/>
        </w:rPr>
        <w:t>6、因成交人违约采购人向成交人主张权利支出的必要费用（包括但不限于诉讼费、律师代理费、保全费、保险费、鉴定费、交通费）应由成交人承担。</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b/>
        </w:rPr>
        <w:t>1</w:t>
      </w:r>
      <w:r>
        <w:rPr>
          <w:rFonts w:ascii="仿宋_GB2312" w:hAnsi="仿宋_GB2312" w:cs="仿宋_GB2312" w:eastAsia="仿宋_GB2312"/>
          <w:b/>
        </w:rPr>
        <w:t>3</w:t>
      </w:r>
      <w:r>
        <w:rPr>
          <w:rFonts w:ascii="仿宋_GB2312" w:hAnsi="仿宋_GB2312" w:cs="仿宋_GB2312" w:eastAsia="仿宋_GB2312"/>
          <w:b/>
        </w:rPr>
        <w:t>、知识产权</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1、成交人提供的合同标的应符合国家知识产权法律、法规的规定且非假冒伪劣品；成交人还应保证采购人不受到第三方关于侵犯知识产权及专利权、商标权或工业设计权等知识产权方面的指控，任何第三方如果提出此方面指控均与采购人无关，成交人应与第三方交涉，并承担可能发生的一切法律责任、费用和后果；若采购人因此而遭致损失，则成交人应赔偿该损失。</w:t>
      </w:r>
    </w:p>
    <w:p>
      <w:pPr>
        <w:pStyle w:val="null3"/>
        <w:ind w:firstLine="480"/>
        <w:jc w:val="both"/>
      </w:pPr>
      <w:r>
        <w:rPr>
          <w:rFonts w:ascii="仿宋_GB2312" w:hAnsi="仿宋_GB2312" w:cs="仿宋_GB2312" w:eastAsia="仿宋_GB2312"/>
        </w:rPr>
        <w:t>13.</w:t>
      </w:r>
      <w:r>
        <w:rPr>
          <w:rFonts w:ascii="仿宋_GB2312" w:hAnsi="仿宋_GB2312" w:cs="仿宋_GB2312" w:eastAsia="仿宋_GB2312"/>
        </w:rPr>
        <w:t>2、若成交人提供的合同标的不符合国家知识产权法律、法规的规定或被有关主管机关认定为假冒伪劣品，则成交人中标资格将被取消；采购人还将按照有关法律、法规和规章的规定进行处理，并按本合同约定追究成交人相应的违约责任。</w:t>
      </w:r>
    </w:p>
    <w:p>
      <w:pPr>
        <w:pStyle w:val="null3"/>
        <w:ind w:firstLine="480"/>
        <w:jc w:val="left"/>
      </w:pPr>
      <w:r>
        <w:rPr>
          <w:rFonts w:ascii="仿宋_GB2312" w:hAnsi="仿宋_GB2312" w:cs="仿宋_GB2312" w:eastAsia="仿宋_GB2312"/>
          <w:shd w:fill="FFFFFF" w:val="clear"/>
        </w:rPr>
        <w:t>★</w:t>
      </w:r>
      <w:r>
        <w:rPr>
          <w:rFonts w:ascii="仿宋_GB2312" w:hAnsi="仿宋_GB2312" w:cs="仿宋_GB2312" w:eastAsia="仿宋_GB2312"/>
          <w:b/>
        </w:rPr>
        <w:t>1</w:t>
      </w:r>
      <w:r>
        <w:rPr>
          <w:rFonts w:ascii="仿宋_GB2312" w:hAnsi="仿宋_GB2312" w:cs="仿宋_GB2312" w:eastAsia="仿宋_GB2312"/>
          <w:b/>
        </w:rPr>
        <w:t>4</w:t>
      </w:r>
      <w:r>
        <w:rPr>
          <w:rFonts w:ascii="仿宋_GB2312" w:hAnsi="仿宋_GB2312" w:cs="仿宋_GB2312" w:eastAsia="仿宋_GB2312"/>
          <w:b/>
        </w:rPr>
        <w:t>、不可抗力</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1、除谈判文件另有规定外，若出现有关法律、法规和规章有强制性规定但谈判文件未列明的情形，则成交人应按照有关法律、法规和规章强制性规定执行。 2、其他：2.1竞争性谈判文件中涉及的国家标准如有最新标准应按最新标准执行。 2.2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3、演示要求 3.1现场演示要求： 本项目技术和服务要求中的现场演示时间不超过 20分钟/家,时间不包含拆箱、插电之类，时间届满必须立即停止演示。现场演示所需的软硬件设备（如：演示所需的辅助设备、排插、线路等）应自备，招标代理机构只提供适当的硬件条件(如演示的场所,带有电源的插头，因场地无网络，供应商应考虑在内)。 3.2、本项目如需复核，谈判小组将不再针对演示内容进行审核。 3.3、采购人不得要求成交人在合同签订前再次要求进行演示，并以演示结果作为是否签订合同的依据。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[350101]FJSXY[TP]2025001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工业机器人一体化实训室建设项目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1(工业机器人)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工业机器人</w:t>
            </w:r>
          </w:p>
        </w:tc>
        <w:tc>
          <w:tcPr>
            <w:tcW w:type="dxa" w:w="1661"/>
          </w:tcPr>
          <w:p>
            <w:pPr>
              <w:pStyle w:val="null3"/>
              <w:jc w:val="left"/>
            </w:pPr>
            <w:r>
              <w:rPr>
                <w:rFonts w:ascii="仿宋_GB2312" w:hAnsi="仿宋_GB2312" w:cs="仿宋_GB2312" w:eastAsia="仿宋_GB2312"/>
              </w:rPr>
              <w:t xml:space="preserve"> 1427000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[350101]FJSXY[TP]2025001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工业机器人一体化实训室建设项目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工业机器人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工业机器人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工业机器人系统操作实训考核平台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智慧实训集控台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工学一体化工作台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（）供应商提供谈判担保函的</w:t>
      </w:r>
    </w:p>
    <w:p>
      <w:pPr>
        <w:pStyle w:val="null3"/>
        <w:ind w:firstLine="480"/>
        <w:jc w:val="left"/>
      </w:pPr>
      <w:r>
        <w:rPr>
          <w:rFonts w:ascii="仿宋_GB2312" w:hAnsi="仿宋_GB2312" w:cs="仿宋_GB2312" w:eastAsia="仿宋_GB2312"/>
        </w:rPr>
        <w:t>现附上由财政部门认可的政府采购专业担保机构：</w:t>
      </w:r>
      <w:r>
        <w:rPr>
          <w:rFonts w:ascii="仿宋_GB2312" w:hAnsi="仿宋_GB2312" w:cs="仿宋_GB2312" w:eastAsia="仿宋_GB2312"/>
          <w:u w:val="single"/>
        </w:rPr>
        <w:t>（填写“担保机构全称”）</w:t>
      </w:r>
      <w:r>
        <w:rPr>
          <w:rFonts w:ascii="仿宋_GB2312" w:hAnsi="仿宋_GB2312" w:cs="仿宋_GB2312" w:eastAsia="仿宋_GB2312"/>
        </w:rPr>
        <w:t>出具的谈判担保函复印件，上述证明材料真实有效，否则我方负全部责任。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※无法按照本格式注意事项第2.1、2.2条规定提供财务报告复印件的供应商，应按照本格式注意事项的要求选择提供资信证明复印件或谈判担保函复印件。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5、对于接受联合体形式的谈判且供应商是联合体的，则联合体各成员都应当提交本资格证明文件。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